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76AD" w14:textId="77777777" w:rsidR="00747C75" w:rsidRDefault="00747C75" w:rsidP="00747C75">
      <w:pPr>
        <w:jc w:val="center"/>
        <w:rPr>
          <w:b/>
          <w:u w:val="single"/>
        </w:rPr>
      </w:pPr>
      <w:r w:rsidRPr="00AE5E21">
        <w:rPr>
          <w:b/>
          <w:u w:val="single"/>
        </w:rPr>
        <w:t xml:space="preserve">Summary of </w:t>
      </w:r>
      <w:r>
        <w:rPr>
          <w:b/>
          <w:u w:val="single"/>
        </w:rPr>
        <w:t>CLT Ground Lease Exhibits</w:t>
      </w:r>
    </w:p>
    <w:p w14:paraId="62B9B8FE" w14:textId="77777777" w:rsidR="00747C75" w:rsidRDefault="00747C75" w:rsidP="00747C75">
      <w:pPr>
        <w:jc w:val="both"/>
      </w:pPr>
    </w:p>
    <w:p w14:paraId="09FACE08" w14:textId="77777777" w:rsidR="00747C75" w:rsidRPr="00615BE7" w:rsidRDefault="000844FF" w:rsidP="00747C75">
      <w:pPr>
        <w:pStyle w:val="ListParagraph"/>
        <w:numPr>
          <w:ilvl w:val="0"/>
          <w:numId w:val="1"/>
        </w:numPr>
        <w:jc w:val="both"/>
        <w:rPr>
          <w:b/>
        </w:rPr>
      </w:pPr>
      <w:r>
        <w:rPr>
          <w:b/>
        </w:rPr>
        <w:t xml:space="preserve">Exhibit 1: Letters of Stipulation and Acknowledgement </w:t>
      </w:r>
    </w:p>
    <w:p w14:paraId="75BEAFA4" w14:textId="77777777" w:rsidR="003D7370" w:rsidRDefault="003D7370" w:rsidP="00747C75">
      <w:pPr>
        <w:jc w:val="both"/>
      </w:pPr>
    </w:p>
    <w:p w14:paraId="2F652343" w14:textId="4B61F380" w:rsidR="00747C75" w:rsidRDefault="00193635" w:rsidP="00747C75">
      <w:pPr>
        <w:jc w:val="both"/>
      </w:pPr>
      <w:r>
        <w:t xml:space="preserve">Exhibit 1 consists of both a Letter of Stipulation and a Letter of Acknowledgement, both of which must be completed and signed by either the CLT homebuyers or the staff of the third-party counseling organization. </w:t>
      </w:r>
      <w:r w:rsidR="000844FF">
        <w:t>The Letter of S</w:t>
      </w:r>
      <w:r w:rsidR="003D7370">
        <w:t xml:space="preserve">tipulation signed by the </w:t>
      </w:r>
      <w:r w:rsidR="00F751B7">
        <w:t xml:space="preserve">CLT </w:t>
      </w:r>
      <w:r w:rsidR="003D7370">
        <w:t>home</w:t>
      </w:r>
      <w:r>
        <w:t>buyer</w:t>
      </w:r>
      <w:r w:rsidR="003D7370">
        <w:t>s</w:t>
      </w:r>
      <w:r>
        <w:t xml:space="preserve"> states that the homebuy</w:t>
      </w:r>
      <w:r w:rsidR="000844FF">
        <w:t>er</w:t>
      </w:r>
      <w:r w:rsidR="003D7370">
        <w:t>s have</w:t>
      </w:r>
      <w:r w:rsidR="000844FF">
        <w:t xml:space="preserve"> </w:t>
      </w:r>
      <w:r w:rsidR="00F751B7">
        <w:t>met with staff from</w:t>
      </w:r>
      <w:r w:rsidR="000844FF">
        <w:t xml:space="preserve"> a third-party counseling organization</w:t>
      </w:r>
      <w:r>
        <w:t xml:space="preserve"> who </w:t>
      </w:r>
      <w:r w:rsidR="00F751B7">
        <w:t>explained to them the specifics of a CLT home purchase</w:t>
      </w:r>
      <w:r w:rsidR="000844FF">
        <w:t xml:space="preserve">, </w:t>
      </w:r>
      <w:r w:rsidR="00F751B7">
        <w:t xml:space="preserve">including </w:t>
      </w:r>
      <w:r w:rsidR="000844FF">
        <w:t>that they are buying the house and not the land</w:t>
      </w:r>
      <w:r w:rsidR="009C73F6">
        <w:t xml:space="preserve"> and the resale restrictions on the home</w:t>
      </w:r>
      <w:r w:rsidR="00F751B7">
        <w:t>, and that the CLT homebuyers</w:t>
      </w:r>
      <w:r w:rsidR="000844FF">
        <w:t xml:space="preserve"> </w:t>
      </w:r>
      <w:r w:rsidR="00F751B7">
        <w:t>understand and agree with the details explained to them</w:t>
      </w:r>
      <w:r w:rsidR="000844FF">
        <w:t xml:space="preserve">. The Letter of Acknowledgment signed by </w:t>
      </w:r>
      <w:r>
        <w:t xml:space="preserve">the staff of </w:t>
      </w:r>
      <w:r w:rsidR="000844FF">
        <w:t xml:space="preserve">the third-party counseling organization states that they </w:t>
      </w:r>
      <w:r>
        <w:t xml:space="preserve">met with the CLT homebuyers and </w:t>
      </w:r>
      <w:r w:rsidR="000844FF">
        <w:t xml:space="preserve">reviewed </w:t>
      </w:r>
      <w:r>
        <w:t>the relevant sales contract,</w:t>
      </w:r>
      <w:r w:rsidR="000844FF">
        <w:t xml:space="preserve"> the Ground Lease</w:t>
      </w:r>
      <w:r w:rsidR="003D7370">
        <w:t xml:space="preserve">, the Exhibits, the Deed </w:t>
      </w:r>
      <w:r w:rsidR="00CB7D86">
        <w:t>for Sale of</w:t>
      </w:r>
      <w:r w:rsidR="003D7370">
        <w:t xml:space="preserve"> Improvements Only,</w:t>
      </w:r>
      <w:r w:rsidR="000844FF">
        <w:t xml:space="preserve"> and </w:t>
      </w:r>
      <w:r w:rsidR="003D7370">
        <w:t xml:space="preserve">any </w:t>
      </w:r>
      <w:bookmarkStart w:id="0" w:name="_GoBack"/>
      <w:bookmarkEnd w:id="0"/>
      <w:r w:rsidR="003D7370">
        <w:t xml:space="preserve">other documents </w:t>
      </w:r>
      <w:r w:rsidR="000844FF">
        <w:t>provided by GND</w:t>
      </w:r>
      <w:r>
        <w:t>C.</w:t>
      </w:r>
    </w:p>
    <w:p w14:paraId="56067E68" w14:textId="77777777" w:rsidR="000844FF" w:rsidRDefault="000844FF" w:rsidP="00747C75">
      <w:pPr>
        <w:jc w:val="both"/>
      </w:pPr>
    </w:p>
    <w:p w14:paraId="522C370B" w14:textId="77777777" w:rsidR="00AA3EA7" w:rsidRDefault="00AA3EA7" w:rsidP="00747C75">
      <w:pPr>
        <w:pStyle w:val="ListParagraph"/>
        <w:numPr>
          <w:ilvl w:val="0"/>
          <w:numId w:val="1"/>
        </w:numPr>
        <w:jc w:val="both"/>
        <w:rPr>
          <w:b/>
        </w:rPr>
      </w:pPr>
      <w:r>
        <w:rPr>
          <w:b/>
        </w:rPr>
        <w:t>Exhibit 2.1: Leased Land</w:t>
      </w:r>
    </w:p>
    <w:p w14:paraId="054883FB" w14:textId="77777777" w:rsidR="00AA3EA7" w:rsidRDefault="00AA3EA7" w:rsidP="00AA3EA7">
      <w:pPr>
        <w:jc w:val="both"/>
        <w:rPr>
          <w:b/>
        </w:rPr>
      </w:pPr>
    </w:p>
    <w:p w14:paraId="49FBE5A3" w14:textId="77777777" w:rsidR="00AA3EA7" w:rsidRDefault="00AA3EA7" w:rsidP="00AA3EA7">
      <w:pPr>
        <w:jc w:val="both"/>
      </w:pPr>
      <w:r>
        <w:t>Exhibit 2.1 is a legal description of the land that is leased by GNDC to the CLT Homeowners and that is underneath the Home that is being purchased.</w:t>
      </w:r>
    </w:p>
    <w:p w14:paraId="5FA5738E" w14:textId="77777777" w:rsidR="00AA3EA7" w:rsidRPr="00AA3EA7" w:rsidRDefault="00AA3EA7" w:rsidP="00AA3EA7">
      <w:pPr>
        <w:jc w:val="both"/>
      </w:pPr>
    </w:p>
    <w:p w14:paraId="694F0A84" w14:textId="77777777" w:rsidR="00747C75" w:rsidRDefault="009C73F6" w:rsidP="00747C75">
      <w:pPr>
        <w:pStyle w:val="ListParagraph"/>
        <w:numPr>
          <w:ilvl w:val="0"/>
          <w:numId w:val="1"/>
        </w:numPr>
        <w:jc w:val="both"/>
        <w:rPr>
          <w:b/>
        </w:rPr>
      </w:pPr>
      <w:r>
        <w:rPr>
          <w:b/>
        </w:rPr>
        <w:t>Exhibit 3.2</w:t>
      </w:r>
      <w:r w:rsidR="000844FF">
        <w:rPr>
          <w:b/>
        </w:rPr>
        <w:t xml:space="preserve">: Right of First Refusal </w:t>
      </w:r>
    </w:p>
    <w:p w14:paraId="1853546E" w14:textId="77777777" w:rsidR="003D7370" w:rsidRDefault="003D7370" w:rsidP="000844FF">
      <w:pPr>
        <w:jc w:val="both"/>
      </w:pPr>
    </w:p>
    <w:p w14:paraId="4FDAB7B5" w14:textId="77777777" w:rsidR="00D10CFC" w:rsidRDefault="00F751B7" w:rsidP="000844FF">
      <w:pPr>
        <w:jc w:val="both"/>
      </w:pPr>
      <w:r>
        <w:t>Article 14.4 of the</w:t>
      </w:r>
      <w:r w:rsidR="000844FF">
        <w:t xml:space="preserve"> Ground Lease gives </w:t>
      </w:r>
      <w:r w:rsidR="000844FF" w:rsidRPr="000844FF">
        <w:t xml:space="preserve">GNDC a </w:t>
      </w:r>
      <w:r>
        <w:t xml:space="preserve">back-up </w:t>
      </w:r>
      <w:r w:rsidR="000844FF" w:rsidRPr="000844FF">
        <w:t xml:space="preserve">Right of First Refusal on </w:t>
      </w:r>
      <w:r>
        <w:t>the home</w:t>
      </w:r>
      <w:r w:rsidR="000844FF">
        <w:t xml:space="preserve"> in the </w:t>
      </w:r>
      <w:r>
        <w:t>unlikely event that the Purchase Option price set by the Resale Formula Price Schedu</w:t>
      </w:r>
      <w:r w:rsidR="009C73F6">
        <w:t>le is unenforceable. Article 3.2</w:t>
      </w:r>
      <w:r>
        <w:t xml:space="preserve"> of the Ground Lease gives the CLT homeowners a Right of First Refusal on the </w:t>
      </w:r>
      <w:r w:rsidR="00193635">
        <w:t>land</w:t>
      </w:r>
      <w:r>
        <w:t xml:space="preserve"> in the unlikely event that GNDC </w:t>
      </w:r>
      <w:r w:rsidR="00193635">
        <w:t xml:space="preserve">seeks to </w:t>
      </w:r>
      <w:r>
        <w:t>sell the land to a for-profit organization. Exhibi</w:t>
      </w:r>
      <w:r w:rsidR="009C73F6">
        <w:t>t 3.2</w:t>
      </w:r>
      <w:r>
        <w:t xml:space="preserve"> sets out the specifics </w:t>
      </w:r>
      <w:r w:rsidR="00193635">
        <w:t xml:space="preserve">and </w:t>
      </w:r>
      <w:r>
        <w:t xml:space="preserve">procedures for a Right of First Refusal for GNDC under Article 14.4 and </w:t>
      </w:r>
      <w:r w:rsidR="00193635">
        <w:t>for the</w:t>
      </w:r>
      <w:r>
        <w:t xml:space="preserve"> CLT homeowner under Article 3.3. The party with the</w:t>
      </w:r>
      <w:r w:rsidR="003D7370">
        <w:t xml:space="preserve"> Right of First Refusal</w:t>
      </w:r>
      <w:r w:rsidR="000844FF">
        <w:t xml:space="preserve"> </w:t>
      </w:r>
      <w:r>
        <w:t xml:space="preserve">is given the right to purchase the home, under Article 14.4, or the </w:t>
      </w:r>
      <w:r w:rsidR="009C73F6">
        <w:t>land, under Article 3.2</w:t>
      </w:r>
      <w:r>
        <w:t xml:space="preserve">, </w:t>
      </w:r>
      <w:r w:rsidR="000844FF">
        <w:t>for the</w:t>
      </w:r>
      <w:r>
        <w:t xml:space="preserve"> same price and on the same terms and conditions as a bona fide, </w:t>
      </w:r>
      <w:r w:rsidR="000844FF">
        <w:t>third-party</w:t>
      </w:r>
      <w:r>
        <w:t xml:space="preserve"> offer.</w:t>
      </w:r>
      <w:r w:rsidR="000844FF">
        <w:t xml:space="preserve"> </w:t>
      </w:r>
      <w:r>
        <w:t>The party with the Right of First Refusal</w:t>
      </w:r>
      <w:r w:rsidR="00D10CFC">
        <w:t xml:space="preserve"> ha</w:t>
      </w:r>
      <w:r>
        <w:t>s 45 days after it receives</w:t>
      </w:r>
      <w:r w:rsidR="00D10CFC">
        <w:t xml:space="preserve"> notice </w:t>
      </w:r>
      <w:r>
        <w:t xml:space="preserve">of the bona fide, third-party offer </w:t>
      </w:r>
      <w:r w:rsidR="00D10CFC">
        <w:t xml:space="preserve">to exercise its right to purchase </w:t>
      </w:r>
      <w:r>
        <w:t xml:space="preserve">at the same price and on the same terms </w:t>
      </w:r>
      <w:r w:rsidR="00193635">
        <w:t xml:space="preserve">and conditions </w:t>
      </w:r>
      <w:r>
        <w:t>as the offer, and 60 days after it gives notice of its intent to match the offer to complete the purchase.</w:t>
      </w:r>
    </w:p>
    <w:p w14:paraId="14C679FE" w14:textId="77777777" w:rsidR="000844FF" w:rsidRPr="000844FF" w:rsidRDefault="000844FF" w:rsidP="000844FF">
      <w:pPr>
        <w:jc w:val="both"/>
        <w:rPr>
          <w:b/>
        </w:rPr>
      </w:pPr>
    </w:p>
    <w:p w14:paraId="1D42B395" w14:textId="77777777" w:rsidR="00747C75" w:rsidRPr="00E069BB" w:rsidRDefault="00D10CFC" w:rsidP="00747C75">
      <w:pPr>
        <w:pStyle w:val="ListParagraph"/>
        <w:numPr>
          <w:ilvl w:val="0"/>
          <w:numId w:val="1"/>
        </w:numPr>
        <w:jc w:val="both"/>
        <w:rPr>
          <w:b/>
        </w:rPr>
      </w:pPr>
      <w:r>
        <w:rPr>
          <w:b/>
        </w:rPr>
        <w:t>Exhibit 6.7: Stewardship Fee</w:t>
      </w:r>
    </w:p>
    <w:p w14:paraId="22F01859" w14:textId="77777777" w:rsidR="003D7370" w:rsidRDefault="003D7370" w:rsidP="00D10CFC">
      <w:pPr>
        <w:jc w:val="both"/>
      </w:pPr>
    </w:p>
    <w:p w14:paraId="6FE2D12A" w14:textId="77777777" w:rsidR="00747C75" w:rsidRDefault="00D10CFC" w:rsidP="00D10CFC">
      <w:pPr>
        <w:jc w:val="both"/>
      </w:pPr>
      <w:r>
        <w:t xml:space="preserve">The Ground Lease requires that the </w:t>
      </w:r>
      <w:r w:rsidR="00272CFC">
        <w:t xml:space="preserve">CLT </w:t>
      </w:r>
      <w:r>
        <w:t xml:space="preserve">homeowners pay a monthly Stewardship Fee </w:t>
      </w:r>
      <w:r w:rsidR="00272CFC">
        <w:t xml:space="preserve">to GNDC for upkeep of the home. The amount of the monthly Stewardship Fee is calculated based on the age, condition, and size of the major systems in </w:t>
      </w:r>
      <w:r w:rsidR="00193635">
        <w:t>the homeowners’</w:t>
      </w:r>
      <w:r w:rsidR="00272CFC">
        <w:t xml:space="preserve"> home. The monthly Stewardship Fee is kept by GNDC in </w:t>
      </w:r>
      <w:r>
        <w:t xml:space="preserve">a </w:t>
      </w:r>
      <w:r w:rsidR="00272CFC">
        <w:t xml:space="preserve">designated </w:t>
      </w:r>
      <w:r>
        <w:t xml:space="preserve">reserve </w:t>
      </w:r>
      <w:r w:rsidR="00272CFC">
        <w:t xml:space="preserve">account affiliated with that specific CLT home. The money that is collected each month </w:t>
      </w:r>
      <w:r w:rsidR="00193635">
        <w:t>from the CLT homeowner and kept in</w:t>
      </w:r>
      <w:r w:rsidR="00272CFC">
        <w:t xml:space="preserve"> the </w:t>
      </w:r>
      <w:r w:rsidR="00193635">
        <w:t xml:space="preserve">reserve </w:t>
      </w:r>
      <w:r w:rsidR="00272CFC">
        <w:t>account is used to pay for ongoing, major</w:t>
      </w:r>
      <w:r>
        <w:t xml:space="preserve"> maintenance </w:t>
      </w:r>
      <w:r w:rsidR="00272CFC">
        <w:t xml:space="preserve">and repairs for that particular home. The Stewardship Fee is intended to </w:t>
      </w:r>
      <w:r w:rsidR="00193635">
        <w:t>maintain the value of the hom</w:t>
      </w:r>
      <w:r w:rsidR="000476E5">
        <w:t>e</w:t>
      </w:r>
      <w:r w:rsidR="00272CFC">
        <w:t>, for both the current owners of the home and future owners</w:t>
      </w:r>
      <w:r w:rsidR="000476E5">
        <w:t xml:space="preserve">. </w:t>
      </w:r>
      <w:r>
        <w:t xml:space="preserve"> </w:t>
      </w:r>
      <w:r w:rsidR="00272CFC">
        <w:t>While the CLT homeowner lives in the home, the money in the Stewardship Fee reserve account is drawn on to pay for ongoing, major repairs. At the time tha</w:t>
      </w:r>
      <w:r w:rsidR="00193635">
        <w:t>t</w:t>
      </w:r>
      <w:r w:rsidR="00272CFC">
        <w:t xml:space="preserve"> the CLT homeowners sell </w:t>
      </w:r>
      <w:r w:rsidR="00272CFC">
        <w:lastRenderedPageBreak/>
        <w:t>their home</w:t>
      </w:r>
      <w:r w:rsidR="00193635">
        <w:t>, any money from the monthly Stewardship Fee payments that is left in the reserve account for that home is</w:t>
      </w:r>
      <w:r w:rsidR="00272CFC">
        <w:t xml:space="preserve"> not returned to the </w:t>
      </w:r>
      <w:r w:rsidR="00193635">
        <w:t>CLT homeowners</w:t>
      </w:r>
      <w:r w:rsidR="00272CFC">
        <w:t xml:space="preserve">, but </w:t>
      </w:r>
      <w:r w:rsidR="00193635">
        <w:t xml:space="preserve">is </w:t>
      </w:r>
      <w:r w:rsidR="009C73F6">
        <w:t>kept by GNDC.</w:t>
      </w:r>
    </w:p>
    <w:p w14:paraId="6B7F395B" w14:textId="77777777" w:rsidR="000476E5" w:rsidRDefault="000476E5" w:rsidP="00D10CFC">
      <w:pPr>
        <w:jc w:val="both"/>
      </w:pPr>
    </w:p>
    <w:p w14:paraId="0AC85711" w14:textId="77777777" w:rsidR="00747C75" w:rsidRPr="00E069BB" w:rsidRDefault="000476E5" w:rsidP="00747C75">
      <w:pPr>
        <w:pStyle w:val="ListParagraph"/>
        <w:numPr>
          <w:ilvl w:val="0"/>
          <w:numId w:val="1"/>
        </w:numPr>
        <w:jc w:val="both"/>
        <w:rPr>
          <w:b/>
        </w:rPr>
      </w:pPr>
      <w:r>
        <w:rPr>
          <w:b/>
        </w:rPr>
        <w:t xml:space="preserve">Exhibit 7.1: Permitted Mortgages </w:t>
      </w:r>
    </w:p>
    <w:p w14:paraId="42C0D628" w14:textId="77777777" w:rsidR="00747C75" w:rsidRPr="00E069BB" w:rsidRDefault="00747C75" w:rsidP="00747C75">
      <w:pPr>
        <w:jc w:val="both"/>
        <w:rPr>
          <w:b/>
        </w:rPr>
      </w:pPr>
    </w:p>
    <w:p w14:paraId="7AE49219" w14:textId="77777777" w:rsidR="000476E5" w:rsidRDefault="00193635" w:rsidP="00747C75">
      <w:pPr>
        <w:jc w:val="both"/>
      </w:pPr>
      <w:r>
        <w:t>Exhibit 7.1</w:t>
      </w:r>
      <w:r w:rsidR="000476E5">
        <w:t xml:space="preserve"> describes the types of mortgage</w:t>
      </w:r>
      <w:r>
        <w:t>s</w:t>
      </w:r>
      <w:r w:rsidR="000476E5">
        <w:t xml:space="preserve"> </w:t>
      </w:r>
      <w:r>
        <w:t xml:space="preserve">that a CLT homeowner is </w:t>
      </w:r>
      <w:r w:rsidR="000476E5">
        <w:t xml:space="preserve">allowed </w:t>
      </w:r>
      <w:r>
        <w:t>to take out from a bank in order to finance the purchase of t</w:t>
      </w:r>
      <w:r w:rsidR="000476E5">
        <w:t xml:space="preserve">he </w:t>
      </w:r>
      <w:r>
        <w:t xml:space="preserve">CLT </w:t>
      </w:r>
      <w:r w:rsidR="000476E5">
        <w:t xml:space="preserve">house. </w:t>
      </w:r>
      <w:r>
        <w:t>GNDC will work with prospective CLT homeowners to help them qualify for a mortgage that fits the requirements set forth in Exhibit 7.1.</w:t>
      </w:r>
      <w:r w:rsidR="000476E5">
        <w:t xml:space="preserve"> </w:t>
      </w:r>
    </w:p>
    <w:p w14:paraId="2DC5B38E" w14:textId="77777777" w:rsidR="000476E5" w:rsidRDefault="000476E5" w:rsidP="00747C75">
      <w:pPr>
        <w:jc w:val="both"/>
      </w:pPr>
    </w:p>
    <w:p w14:paraId="14862CC6" w14:textId="77777777" w:rsidR="003D36F4" w:rsidRDefault="003D36F4" w:rsidP="000476E5">
      <w:pPr>
        <w:pStyle w:val="ListParagraph"/>
        <w:numPr>
          <w:ilvl w:val="0"/>
          <w:numId w:val="1"/>
        </w:numPr>
        <w:jc w:val="both"/>
        <w:rPr>
          <w:b/>
        </w:rPr>
      </w:pPr>
      <w:r>
        <w:rPr>
          <w:b/>
        </w:rPr>
        <w:t>Exhibit 9.4: Notice of Intent to Sell (Form of Notice)</w:t>
      </w:r>
    </w:p>
    <w:p w14:paraId="7A7067C4" w14:textId="77777777" w:rsidR="003D36F4" w:rsidRDefault="003D36F4" w:rsidP="003D36F4">
      <w:pPr>
        <w:jc w:val="both"/>
      </w:pPr>
    </w:p>
    <w:p w14:paraId="4549C11D" w14:textId="77777777" w:rsidR="003D36F4" w:rsidRDefault="003D36F4" w:rsidP="003D36F4">
      <w:pPr>
        <w:jc w:val="both"/>
      </w:pPr>
      <w:r>
        <w:t xml:space="preserve">In the event the homeowner desires to sell the home, Article 9.4 of the Ground Lease requires the homeowner to notify GNDC in writing through the Intent-to-Sell Notice.  Exhibit 9.4 outlines GNDC’s purchase option. The notice also includes a statement as to whether the homeowner desires to recommend a perspective buyer as required by Article 9.4. </w:t>
      </w:r>
    </w:p>
    <w:p w14:paraId="39825991" w14:textId="77777777" w:rsidR="003D36F4" w:rsidRPr="003D36F4" w:rsidRDefault="003D36F4" w:rsidP="003D36F4">
      <w:pPr>
        <w:jc w:val="both"/>
      </w:pPr>
    </w:p>
    <w:p w14:paraId="58B2D5F5" w14:textId="77777777" w:rsidR="000476E5" w:rsidRDefault="000476E5" w:rsidP="000476E5">
      <w:pPr>
        <w:pStyle w:val="ListParagraph"/>
        <w:numPr>
          <w:ilvl w:val="0"/>
          <w:numId w:val="1"/>
        </w:numPr>
        <w:jc w:val="both"/>
        <w:rPr>
          <w:b/>
        </w:rPr>
      </w:pPr>
      <w:r w:rsidRPr="000476E5">
        <w:rPr>
          <w:b/>
        </w:rPr>
        <w:t>Exhibi</w:t>
      </w:r>
      <w:r>
        <w:rPr>
          <w:b/>
        </w:rPr>
        <w:t xml:space="preserve">t 9.10: Resale Formula </w:t>
      </w:r>
      <w:r w:rsidR="00272CFC">
        <w:rPr>
          <w:b/>
        </w:rPr>
        <w:t>Price Schedule</w:t>
      </w:r>
    </w:p>
    <w:p w14:paraId="5FC70061" w14:textId="77777777" w:rsidR="000476E5" w:rsidRDefault="000476E5" w:rsidP="000476E5">
      <w:pPr>
        <w:jc w:val="both"/>
      </w:pPr>
    </w:p>
    <w:p w14:paraId="7066640C" w14:textId="77777777" w:rsidR="00272CFC" w:rsidRPr="00615BE7" w:rsidRDefault="00272CFC" w:rsidP="00272CFC">
      <w:pPr>
        <w:jc w:val="both"/>
      </w:pPr>
      <w:r>
        <w:t xml:space="preserve">The Resale Formula Price Schedule is a very important part of CLT housing because it sets out the maximum price at which the CLT homeowner can sell the home when it comes time to sell. The maximum sales price for the home is calculated using a fixed rate of increase per year (for example, 2%) above the initial sales price, capped at a set number of years of increase (typically capped at 30 years). By looking at the Resale Formula Price Schedule for their home, the CLT homeowner can see how much they can sell the home for in future years. The purpose of the Resale Formula Price Schedule is to allow individual CLT homeowners to profit from the equity that has been built up over the years that they have owned the home, while also maintaining the home’s long-term affordability for future homeowners. </w:t>
      </w:r>
    </w:p>
    <w:p w14:paraId="23192642" w14:textId="77777777" w:rsidR="00272CFC" w:rsidRDefault="00272CFC" w:rsidP="000476E5">
      <w:pPr>
        <w:jc w:val="both"/>
      </w:pPr>
    </w:p>
    <w:p w14:paraId="16DD7C3C" w14:textId="77777777" w:rsidR="000476E5" w:rsidRDefault="009C73F6" w:rsidP="000476E5">
      <w:pPr>
        <w:pStyle w:val="ListParagraph"/>
        <w:numPr>
          <w:ilvl w:val="0"/>
          <w:numId w:val="1"/>
        </w:numPr>
        <w:jc w:val="both"/>
        <w:rPr>
          <w:b/>
        </w:rPr>
      </w:pPr>
      <w:r>
        <w:rPr>
          <w:b/>
        </w:rPr>
        <w:t>Exhibit 9.12</w:t>
      </w:r>
      <w:r w:rsidR="000476E5" w:rsidRPr="000476E5">
        <w:rPr>
          <w:b/>
        </w:rPr>
        <w:t xml:space="preserve">: </w:t>
      </w:r>
      <w:r w:rsidR="00710CB4">
        <w:rPr>
          <w:b/>
        </w:rPr>
        <w:t>Repair</w:t>
      </w:r>
      <w:r w:rsidR="000476E5" w:rsidRPr="000476E5">
        <w:rPr>
          <w:b/>
        </w:rPr>
        <w:t xml:space="preserve"> Requirements </w:t>
      </w:r>
    </w:p>
    <w:p w14:paraId="49F3BD7F" w14:textId="77777777" w:rsidR="003D7370" w:rsidRDefault="003D7370" w:rsidP="000476E5">
      <w:pPr>
        <w:jc w:val="both"/>
      </w:pPr>
    </w:p>
    <w:p w14:paraId="26B997B7" w14:textId="234D4BF0" w:rsidR="000476E5" w:rsidRDefault="000476E5" w:rsidP="000476E5">
      <w:pPr>
        <w:jc w:val="both"/>
      </w:pPr>
      <w:r w:rsidRPr="000476E5">
        <w:t xml:space="preserve">The </w:t>
      </w:r>
      <w:r w:rsidR="00272CFC">
        <w:t xml:space="preserve">CLT </w:t>
      </w:r>
      <w:r w:rsidRPr="000476E5">
        <w:t xml:space="preserve">homeowners are required to leave the house in the same condition as it was purchased, besides normal wear and tear. </w:t>
      </w:r>
      <w:r w:rsidR="009C73F6">
        <w:t>Exhibit 9.12</w:t>
      </w:r>
      <w:r w:rsidR="00272CFC">
        <w:t xml:space="preserve"> lists</w:t>
      </w:r>
      <w:r w:rsidR="00604258">
        <w:t xml:space="preserve"> specific repair and maintenance requirements </w:t>
      </w:r>
      <w:r w:rsidR="003D7370">
        <w:t xml:space="preserve">that are </w:t>
      </w:r>
      <w:r w:rsidR="00604258">
        <w:t xml:space="preserve">expected of the </w:t>
      </w:r>
      <w:r w:rsidR="00272CFC">
        <w:t xml:space="preserve">CLT </w:t>
      </w:r>
      <w:r w:rsidR="00604258">
        <w:t xml:space="preserve">homeowners before a </w:t>
      </w:r>
      <w:r w:rsidR="00272CFC">
        <w:t xml:space="preserve">future </w:t>
      </w:r>
      <w:r w:rsidR="00604258">
        <w:t xml:space="preserve">sale of the house. </w:t>
      </w:r>
    </w:p>
    <w:p w14:paraId="67670D7A" w14:textId="777CF29C" w:rsidR="00631383" w:rsidRDefault="00631383" w:rsidP="000476E5">
      <w:pPr>
        <w:jc w:val="both"/>
      </w:pPr>
    </w:p>
    <w:p w14:paraId="06658E94" w14:textId="77777777" w:rsidR="000476E5" w:rsidRDefault="000476E5" w:rsidP="00604258">
      <w:pPr>
        <w:pStyle w:val="ListParagraph"/>
        <w:numPr>
          <w:ilvl w:val="0"/>
          <w:numId w:val="1"/>
        </w:numPr>
        <w:jc w:val="both"/>
        <w:rPr>
          <w:b/>
        </w:rPr>
      </w:pPr>
      <w:r w:rsidRPr="00604258">
        <w:rPr>
          <w:b/>
        </w:rPr>
        <w:t xml:space="preserve">Exhibit </w:t>
      </w:r>
      <w:r w:rsidR="00604258" w:rsidRPr="00604258">
        <w:rPr>
          <w:b/>
        </w:rPr>
        <w:t>13</w:t>
      </w:r>
      <w:r w:rsidR="00AA3EA7">
        <w:rPr>
          <w:b/>
        </w:rPr>
        <w:t>.4</w:t>
      </w:r>
      <w:r w:rsidR="00604258" w:rsidRPr="00604258">
        <w:rPr>
          <w:b/>
        </w:rPr>
        <w:t xml:space="preserve">: Insurance Requirements </w:t>
      </w:r>
    </w:p>
    <w:p w14:paraId="011B84F5" w14:textId="77777777" w:rsidR="003D7370" w:rsidRDefault="003D7370" w:rsidP="00604258">
      <w:pPr>
        <w:jc w:val="both"/>
      </w:pPr>
    </w:p>
    <w:p w14:paraId="17C85F88" w14:textId="77777777" w:rsidR="00604258" w:rsidRPr="00604258" w:rsidRDefault="00604258" w:rsidP="00604258">
      <w:pPr>
        <w:jc w:val="both"/>
      </w:pPr>
      <w:r w:rsidRPr="00604258">
        <w:t xml:space="preserve">The homeowners are required to </w:t>
      </w:r>
      <w:r w:rsidR="00D43B10">
        <w:t xml:space="preserve">purchase and </w:t>
      </w:r>
      <w:r w:rsidRPr="00604258">
        <w:t>maintain certain</w:t>
      </w:r>
      <w:r w:rsidR="00D43B10">
        <w:t xml:space="preserve"> property insurance policie</w:t>
      </w:r>
      <w:r w:rsidRPr="00604258">
        <w:t>s a</w:t>
      </w:r>
      <w:r w:rsidR="009C73F6">
        <w:t xml:space="preserve">s </w:t>
      </w:r>
      <w:r w:rsidR="00D43B10">
        <w:t>set forth</w:t>
      </w:r>
      <w:r w:rsidR="009C73F6">
        <w:t xml:space="preserve"> i</w:t>
      </w:r>
      <w:r w:rsidR="00D43B10">
        <w:t xml:space="preserve">n this exhibit, including all-risk property insurance on the home and </w:t>
      </w:r>
      <w:r w:rsidR="009C73F6">
        <w:t>liability insurance on the home and the land.</w:t>
      </w:r>
    </w:p>
    <w:p w14:paraId="7D05A48B" w14:textId="77777777" w:rsidR="000476E5" w:rsidRPr="000476E5" w:rsidRDefault="000476E5" w:rsidP="000476E5">
      <w:pPr>
        <w:jc w:val="both"/>
        <w:rPr>
          <w:b/>
        </w:rPr>
      </w:pPr>
    </w:p>
    <w:p w14:paraId="5C86606B" w14:textId="77777777" w:rsidR="000476E5" w:rsidRPr="00615BE7" w:rsidRDefault="000476E5" w:rsidP="00747C75">
      <w:pPr>
        <w:jc w:val="both"/>
      </w:pPr>
    </w:p>
    <w:p w14:paraId="2A2DCB1B" w14:textId="77777777" w:rsidR="00CD6778" w:rsidRDefault="00CD6778"/>
    <w:sectPr w:rsidR="00CD6778" w:rsidSect="00631383">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B390" w14:textId="77777777" w:rsidR="004F2460" w:rsidRDefault="004F2460" w:rsidP="007753FA">
      <w:r>
        <w:separator/>
      </w:r>
    </w:p>
  </w:endnote>
  <w:endnote w:type="continuationSeparator" w:id="0">
    <w:p w14:paraId="5639A55B" w14:textId="77777777" w:rsidR="004F2460" w:rsidRDefault="004F2460" w:rsidP="007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AECA" w14:textId="386F5CF1" w:rsidR="007753FA" w:rsidRPr="000D3790" w:rsidRDefault="00631383" w:rsidP="000D3790">
    <w:pPr>
      <w:pStyle w:val="Footer"/>
      <w:jc w:val="right"/>
      <w:rPr>
        <w:i/>
      </w:rPr>
    </w:pPr>
    <w:r>
      <w:rPr>
        <w:i/>
      </w:rPr>
      <w:t>Revised as of 6/5/2018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50C8" w14:textId="77777777" w:rsidR="004F2460" w:rsidRDefault="004F2460" w:rsidP="007753FA">
      <w:r>
        <w:separator/>
      </w:r>
    </w:p>
  </w:footnote>
  <w:footnote w:type="continuationSeparator" w:id="0">
    <w:p w14:paraId="65E1FD2D" w14:textId="77777777" w:rsidR="004F2460" w:rsidRDefault="004F2460" w:rsidP="0077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96A1" w14:textId="3E783010" w:rsidR="007753FA" w:rsidRPr="007753FA" w:rsidRDefault="007753FA" w:rsidP="007753FA">
    <w:pPr>
      <w:pStyle w:val="Header"/>
      <w:jc w:val="both"/>
      <w:rPr>
        <w:b/>
      </w:rPr>
    </w:pPr>
    <w:r>
      <w:tab/>
    </w:r>
    <w:r>
      <w:tab/>
    </w:r>
    <w:r w:rsidRPr="007753FA">
      <w:rPr>
        <w:b/>
      </w:rPr>
      <w:t>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929"/>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75"/>
    <w:rsid w:val="000476E5"/>
    <w:rsid w:val="000844FF"/>
    <w:rsid w:val="000D3790"/>
    <w:rsid w:val="00122009"/>
    <w:rsid w:val="00193635"/>
    <w:rsid w:val="00272CFC"/>
    <w:rsid w:val="00337BCB"/>
    <w:rsid w:val="003D36F4"/>
    <w:rsid w:val="003D7370"/>
    <w:rsid w:val="004F2460"/>
    <w:rsid w:val="00604258"/>
    <w:rsid w:val="00631383"/>
    <w:rsid w:val="00637BF8"/>
    <w:rsid w:val="006F749D"/>
    <w:rsid w:val="00710CB4"/>
    <w:rsid w:val="00747C75"/>
    <w:rsid w:val="00772AA4"/>
    <w:rsid w:val="007753FA"/>
    <w:rsid w:val="0086387B"/>
    <w:rsid w:val="009C73F6"/>
    <w:rsid w:val="00AA3EA7"/>
    <w:rsid w:val="00B76AE3"/>
    <w:rsid w:val="00CB7D86"/>
    <w:rsid w:val="00CD6778"/>
    <w:rsid w:val="00D10CFC"/>
    <w:rsid w:val="00D36BDF"/>
    <w:rsid w:val="00D43B10"/>
    <w:rsid w:val="00F751B7"/>
    <w:rsid w:val="00F93D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B1F87"/>
  <w15:docId w15:val="{F63E2FE5-5CFD-4A57-87C0-A2DBB52E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75"/>
    <w:pPr>
      <w:ind w:left="720"/>
      <w:contextualSpacing/>
    </w:pPr>
  </w:style>
  <w:style w:type="character" w:styleId="CommentReference">
    <w:name w:val="annotation reference"/>
    <w:basedOn w:val="DefaultParagraphFont"/>
    <w:uiPriority w:val="99"/>
    <w:semiHidden/>
    <w:unhideWhenUsed/>
    <w:rsid w:val="00604258"/>
    <w:rPr>
      <w:sz w:val="18"/>
      <w:szCs w:val="18"/>
    </w:rPr>
  </w:style>
  <w:style w:type="paragraph" w:styleId="CommentText">
    <w:name w:val="annotation text"/>
    <w:basedOn w:val="Normal"/>
    <w:link w:val="CommentTextChar"/>
    <w:uiPriority w:val="99"/>
    <w:semiHidden/>
    <w:unhideWhenUsed/>
    <w:rsid w:val="00604258"/>
  </w:style>
  <w:style w:type="character" w:customStyle="1" w:styleId="CommentTextChar">
    <w:name w:val="Comment Text Char"/>
    <w:basedOn w:val="DefaultParagraphFont"/>
    <w:link w:val="CommentText"/>
    <w:uiPriority w:val="99"/>
    <w:semiHidden/>
    <w:rsid w:val="00604258"/>
  </w:style>
  <w:style w:type="paragraph" w:styleId="CommentSubject">
    <w:name w:val="annotation subject"/>
    <w:basedOn w:val="CommentText"/>
    <w:next w:val="CommentText"/>
    <w:link w:val="CommentSubjectChar"/>
    <w:uiPriority w:val="99"/>
    <w:semiHidden/>
    <w:unhideWhenUsed/>
    <w:rsid w:val="00604258"/>
    <w:rPr>
      <w:b/>
      <w:bCs/>
      <w:sz w:val="20"/>
      <w:szCs w:val="20"/>
    </w:rPr>
  </w:style>
  <w:style w:type="character" w:customStyle="1" w:styleId="CommentSubjectChar">
    <w:name w:val="Comment Subject Char"/>
    <w:basedOn w:val="CommentTextChar"/>
    <w:link w:val="CommentSubject"/>
    <w:uiPriority w:val="99"/>
    <w:semiHidden/>
    <w:rsid w:val="00604258"/>
    <w:rPr>
      <w:b/>
      <w:bCs/>
      <w:sz w:val="20"/>
      <w:szCs w:val="20"/>
    </w:rPr>
  </w:style>
  <w:style w:type="paragraph" w:styleId="BalloonText">
    <w:name w:val="Balloon Text"/>
    <w:basedOn w:val="Normal"/>
    <w:link w:val="BalloonTextChar"/>
    <w:uiPriority w:val="99"/>
    <w:semiHidden/>
    <w:unhideWhenUsed/>
    <w:rsid w:val="00604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58"/>
    <w:rPr>
      <w:rFonts w:ascii="Lucida Grande" w:hAnsi="Lucida Grande" w:cs="Lucida Grande"/>
      <w:sz w:val="18"/>
      <w:szCs w:val="18"/>
    </w:rPr>
  </w:style>
  <w:style w:type="paragraph" w:styleId="Header">
    <w:name w:val="header"/>
    <w:basedOn w:val="Normal"/>
    <w:link w:val="HeaderChar"/>
    <w:uiPriority w:val="99"/>
    <w:unhideWhenUsed/>
    <w:rsid w:val="007753FA"/>
    <w:pPr>
      <w:tabs>
        <w:tab w:val="center" w:pos="4320"/>
        <w:tab w:val="right" w:pos="8640"/>
      </w:tabs>
    </w:pPr>
  </w:style>
  <w:style w:type="character" w:customStyle="1" w:styleId="HeaderChar">
    <w:name w:val="Header Char"/>
    <w:basedOn w:val="DefaultParagraphFont"/>
    <w:link w:val="Header"/>
    <w:uiPriority w:val="99"/>
    <w:rsid w:val="007753FA"/>
  </w:style>
  <w:style w:type="paragraph" w:styleId="Footer">
    <w:name w:val="footer"/>
    <w:basedOn w:val="Normal"/>
    <w:link w:val="FooterChar"/>
    <w:uiPriority w:val="99"/>
    <w:unhideWhenUsed/>
    <w:rsid w:val="007753FA"/>
    <w:pPr>
      <w:tabs>
        <w:tab w:val="center" w:pos="4320"/>
        <w:tab w:val="right" w:pos="8640"/>
      </w:tabs>
    </w:pPr>
  </w:style>
  <w:style w:type="character" w:customStyle="1" w:styleId="FooterChar">
    <w:name w:val="Footer Char"/>
    <w:basedOn w:val="DefaultParagraphFont"/>
    <w:link w:val="Footer"/>
    <w:uiPriority w:val="99"/>
    <w:rsid w:val="0077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Bendele</dc:creator>
  <cp:keywords/>
  <dc:description/>
  <cp:lastModifiedBy>Platts-Mills, Eliza T</cp:lastModifiedBy>
  <cp:revision>3</cp:revision>
  <cp:lastPrinted>2017-10-18T13:48:00Z</cp:lastPrinted>
  <dcterms:created xsi:type="dcterms:W3CDTF">2018-06-05T18:09:00Z</dcterms:created>
  <dcterms:modified xsi:type="dcterms:W3CDTF">2018-06-05T18:10:00Z</dcterms:modified>
</cp:coreProperties>
</file>