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81B8B" w14:textId="77777777" w:rsidR="008A552E" w:rsidRDefault="0031183B" w:rsidP="04E5D762">
      <w:pPr>
        <w:jc w:val="center"/>
        <w:rPr>
          <w:rFonts w:asciiTheme="majorHAnsi" w:hAnsiTheme="majorHAnsi"/>
          <w:b/>
          <w:bCs/>
          <w:u w:val="single"/>
        </w:rPr>
      </w:pPr>
      <w:r>
        <w:rPr>
          <w:rFonts w:asciiTheme="majorHAnsi" w:hAnsiTheme="majorHAnsi"/>
          <w:b/>
          <w:bCs/>
          <w:u w:val="single"/>
        </w:rPr>
        <w:t>Instructions for Completing</w:t>
      </w:r>
      <w:r w:rsidR="04E5D762" w:rsidRPr="006C313C">
        <w:rPr>
          <w:rFonts w:asciiTheme="majorHAnsi" w:hAnsiTheme="majorHAnsi"/>
          <w:b/>
          <w:bCs/>
          <w:u w:val="single"/>
        </w:rPr>
        <w:t xml:space="preserve"> </w:t>
      </w:r>
      <w:r w:rsidR="008A552E">
        <w:rPr>
          <w:rFonts w:asciiTheme="majorHAnsi" w:hAnsiTheme="majorHAnsi"/>
          <w:b/>
          <w:bCs/>
          <w:u w:val="single"/>
        </w:rPr>
        <w:t xml:space="preserve">TREC </w:t>
      </w:r>
      <w:r w:rsidR="04E5D762" w:rsidRPr="006C313C">
        <w:rPr>
          <w:rFonts w:asciiTheme="majorHAnsi" w:hAnsiTheme="majorHAnsi"/>
          <w:b/>
          <w:bCs/>
          <w:u w:val="single"/>
        </w:rPr>
        <w:t xml:space="preserve">New Home Contract </w:t>
      </w:r>
    </w:p>
    <w:p w14:paraId="73901F2E" w14:textId="7271EE83" w:rsidR="00747C75" w:rsidRPr="006C313C" w:rsidRDefault="04E5D762" w:rsidP="04E5D762">
      <w:pPr>
        <w:jc w:val="center"/>
        <w:rPr>
          <w:rFonts w:asciiTheme="majorHAnsi" w:hAnsiTheme="majorHAnsi"/>
          <w:b/>
          <w:bCs/>
          <w:u w:val="single"/>
        </w:rPr>
      </w:pPr>
      <w:r w:rsidRPr="006C313C">
        <w:rPr>
          <w:rFonts w:asciiTheme="majorHAnsi" w:hAnsiTheme="majorHAnsi"/>
          <w:b/>
          <w:bCs/>
          <w:u w:val="single"/>
        </w:rPr>
        <w:t>(Incomplete Construction</w:t>
      </w:r>
      <w:r w:rsidR="008A552E">
        <w:rPr>
          <w:rFonts w:asciiTheme="majorHAnsi" w:hAnsiTheme="majorHAnsi"/>
          <w:b/>
          <w:bCs/>
          <w:u w:val="single"/>
        </w:rPr>
        <w:t xml:space="preserve"> and Completed Construction</w:t>
      </w:r>
      <w:r w:rsidRPr="006C313C">
        <w:rPr>
          <w:rFonts w:asciiTheme="majorHAnsi" w:hAnsiTheme="majorHAnsi"/>
          <w:b/>
          <w:bCs/>
          <w:u w:val="single"/>
        </w:rPr>
        <w:t>)</w:t>
      </w:r>
    </w:p>
    <w:p w14:paraId="415E1FD5" w14:textId="77777777" w:rsidR="04E5D762" w:rsidRPr="006C313C" w:rsidRDefault="04E5D762" w:rsidP="04E5D762">
      <w:pPr>
        <w:jc w:val="center"/>
        <w:rPr>
          <w:rFonts w:asciiTheme="majorHAnsi" w:hAnsiTheme="majorHAnsi"/>
          <w:b/>
          <w:bCs/>
          <w:u w:val="single"/>
        </w:rPr>
      </w:pPr>
    </w:p>
    <w:p w14:paraId="05CB16AE" w14:textId="77777777" w:rsidR="008A552E" w:rsidRDefault="04E5D762" w:rsidP="04E5D762">
      <w:pPr>
        <w:rPr>
          <w:rFonts w:asciiTheme="majorHAnsi" w:eastAsia="Cambria" w:hAnsiTheme="majorHAnsi" w:cs="Cambria"/>
        </w:rPr>
      </w:pPr>
      <w:r w:rsidRPr="006C313C">
        <w:rPr>
          <w:rFonts w:asciiTheme="majorHAnsi" w:eastAsia="Cambria" w:hAnsiTheme="majorHAnsi" w:cs="Cambria"/>
        </w:rPr>
        <w:t>The New Home Contract (Incomplete Construction) is a form contract promulgated by the Texas Real Estate Commission (TREC). The contract is used for the sale of new homes when construction has not yet been completed by the builder</w:t>
      </w:r>
      <w:r w:rsidR="00195EFE">
        <w:rPr>
          <w:rFonts w:asciiTheme="majorHAnsi" w:eastAsia="Cambria" w:hAnsiTheme="majorHAnsi" w:cs="Cambria"/>
        </w:rPr>
        <w:t xml:space="preserve"> and when the closing will occur after construction has been completed</w:t>
      </w:r>
      <w:r w:rsidRPr="006C313C">
        <w:rPr>
          <w:rFonts w:asciiTheme="majorHAnsi" w:eastAsia="Cambria" w:hAnsiTheme="majorHAnsi" w:cs="Cambria"/>
        </w:rPr>
        <w:t xml:space="preserve">. </w:t>
      </w:r>
    </w:p>
    <w:p w14:paraId="205619F9" w14:textId="77777777" w:rsidR="008A552E" w:rsidRDefault="008A552E" w:rsidP="04E5D762">
      <w:pPr>
        <w:rPr>
          <w:rFonts w:asciiTheme="majorHAnsi" w:eastAsia="Cambria" w:hAnsiTheme="majorHAnsi" w:cs="Cambria"/>
        </w:rPr>
      </w:pPr>
    </w:p>
    <w:p w14:paraId="5DB51BD6" w14:textId="5B31CB6E" w:rsidR="00195EFE" w:rsidRDefault="008A552E" w:rsidP="04E5D762">
      <w:pPr>
        <w:rPr>
          <w:rFonts w:asciiTheme="majorHAnsi" w:eastAsia="Cambria" w:hAnsiTheme="majorHAnsi" w:cs="Cambria"/>
        </w:rPr>
      </w:pPr>
      <w:r>
        <w:rPr>
          <w:rFonts w:asciiTheme="majorHAnsi" w:eastAsia="Cambria" w:hAnsiTheme="majorHAnsi" w:cs="Cambria"/>
        </w:rPr>
        <w:t>The New Home Contract (Completed Construction) is a form contract promulgated by the TREC that is used for the sale of new homes when construction has been completed by the builder at the time that the parties enter into the sales contract.</w:t>
      </w:r>
    </w:p>
    <w:p w14:paraId="12B41517" w14:textId="77777777" w:rsidR="00195EFE" w:rsidRDefault="00195EFE" w:rsidP="04E5D762">
      <w:pPr>
        <w:rPr>
          <w:rFonts w:asciiTheme="majorHAnsi" w:eastAsia="Cambria" w:hAnsiTheme="majorHAnsi" w:cs="Cambria"/>
        </w:rPr>
      </w:pPr>
    </w:p>
    <w:p w14:paraId="5D288DC1" w14:textId="14AE15F3" w:rsidR="00496157" w:rsidRPr="006C313C" w:rsidRDefault="008A552E" w:rsidP="04E5D762">
      <w:pPr>
        <w:rPr>
          <w:rFonts w:asciiTheme="majorHAnsi" w:hAnsiTheme="majorHAnsi"/>
        </w:rPr>
      </w:pPr>
      <w:r>
        <w:rPr>
          <w:rFonts w:asciiTheme="majorHAnsi" w:eastAsia="Cambria" w:hAnsiTheme="majorHAnsi" w:cs="Cambria"/>
        </w:rPr>
        <w:t>Both</w:t>
      </w:r>
      <w:r w:rsidR="04E5D762" w:rsidRPr="006C313C">
        <w:rPr>
          <w:rFonts w:asciiTheme="majorHAnsi" w:eastAsia="Cambria" w:hAnsiTheme="majorHAnsi" w:cs="Cambria"/>
        </w:rPr>
        <w:t xml:space="preserve"> form</w:t>
      </w:r>
      <w:r>
        <w:rPr>
          <w:rFonts w:asciiTheme="majorHAnsi" w:eastAsia="Cambria" w:hAnsiTheme="majorHAnsi" w:cs="Cambria"/>
        </w:rPr>
        <w:t>s</w:t>
      </w:r>
      <w:r w:rsidR="04E5D762" w:rsidRPr="006C313C">
        <w:rPr>
          <w:rFonts w:asciiTheme="majorHAnsi" w:eastAsia="Cambria" w:hAnsiTheme="majorHAnsi" w:cs="Cambria"/>
        </w:rPr>
        <w:t xml:space="preserve"> </w:t>
      </w:r>
      <w:r>
        <w:rPr>
          <w:rFonts w:asciiTheme="majorHAnsi" w:eastAsia="Cambria" w:hAnsiTheme="majorHAnsi" w:cs="Cambria"/>
        </w:rPr>
        <w:t>are</w:t>
      </w:r>
      <w:r w:rsidR="04E5D762" w:rsidRPr="006C313C">
        <w:rPr>
          <w:rFonts w:asciiTheme="majorHAnsi" w:eastAsia="Cambria" w:hAnsiTheme="majorHAnsi" w:cs="Cambria"/>
        </w:rPr>
        <w:t xml:space="preserve"> periodically upd</w:t>
      </w:r>
      <w:r>
        <w:rPr>
          <w:rFonts w:asciiTheme="majorHAnsi" w:eastAsia="Cambria" w:hAnsiTheme="majorHAnsi" w:cs="Cambria"/>
        </w:rPr>
        <w:t>ated; the latest version of the</w:t>
      </w:r>
      <w:r w:rsidR="04E5D762" w:rsidRPr="006C313C">
        <w:rPr>
          <w:rFonts w:asciiTheme="majorHAnsi" w:eastAsia="Cambria" w:hAnsiTheme="majorHAnsi" w:cs="Cambria"/>
        </w:rPr>
        <w:t xml:space="preserve"> form</w:t>
      </w:r>
      <w:r>
        <w:rPr>
          <w:rFonts w:asciiTheme="majorHAnsi" w:eastAsia="Cambria" w:hAnsiTheme="majorHAnsi" w:cs="Cambria"/>
        </w:rPr>
        <w:t>s are</w:t>
      </w:r>
      <w:r w:rsidR="04E5D762" w:rsidRPr="006C313C">
        <w:rPr>
          <w:rFonts w:asciiTheme="majorHAnsi" w:eastAsia="Cambria" w:hAnsiTheme="majorHAnsi" w:cs="Cambria"/>
        </w:rPr>
        <w:t xml:space="preserve"> available at:  </w:t>
      </w:r>
      <w:hyperlink r:id="rId7" w:history="1">
        <w:r w:rsidR="007C5114" w:rsidRPr="002174B6">
          <w:rPr>
            <w:rStyle w:val="Hyperlink"/>
          </w:rPr>
          <w:t>https://www.trec.texas.gov/forms/new-home-c</w:t>
        </w:r>
        <w:r w:rsidR="007C5114" w:rsidRPr="002174B6">
          <w:rPr>
            <w:rStyle w:val="Hyperlink"/>
          </w:rPr>
          <w:t>o</w:t>
        </w:r>
        <w:r w:rsidR="007C5114" w:rsidRPr="002174B6">
          <w:rPr>
            <w:rStyle w:val="Hyperlink"/>
          </w:rPr>
          <w:t>ntract-incomplete-construction-0</w:t>
        </w:r>
      </w:hyperlink>
      <w:r w:rsidR="04E5D762" w:rsidRPr="006C313C">
        <w:rPr>
          <w:rFonts w:asciiTheme="majorHAnsi" w:hAnsiTheme="majorHAnsi"/>
        </w:rPr>
        <w:t xml:space="preserve">. It is best practice to </w:t>
      </w:r>
      <w:r w:rsidR="0070546B">
        <w:rPr>
          <w:rFonts w:asciiTheme="majorHAnsi" w:hAnsiTheme="majorHAnsi"/>
        </w:rPr>
        <w:t>check regularly to see</w:t>
      </w:r>
      <w:r w:rsidR="04E5D762" w:rsidRPr="006C313C">
        <w:rPr>
          <w:rFonts w:asciiTheme="majorHAnsi" w:hAnsiTheme="majorHAnsi"/>
        </w:rPr>
        <w:t xml:space="preserve"> if the for</w:t>
      </w:r>
      <w:r w:rsidR="0070546B">
        <w:rPr>
          <w:rFonts w:asciiTheme="majorHAnsi" w:hAnsiTheme="majorHAnsi"/>
        </w:rPr>
        <w:t>m</w:t>
      </w:r>
      <w:r>
        <w:rPr>
          <w:rFonts w:asciiTheme="majorHAnsi" w:hAnsiTheme="majorHAnsi"/>
        </w:rPr>
        <w:t>s</w:t>
      </w:r>
      <w:r w:rsidR="0070546B">
        <w:rPr>
          <w:rFonts w:asciiTheme="majorHAnsi" w:hAnsiTheme="majorHAnsi"/>
        </w:rPr>
        <w:t xml:space="preserve"> ha</w:t>
      </w:r>
      <w:r>
        <w:rPr>
          <w:rFonts w:asciiTheme="majorHAnsi" w:hAnsiTheme="majorHAnsi"/>
        </w:rPr>
        <w:t>ve</w:t>
      </w:r>
      <w:r w:rsidR="0070546B">
        <w:rPr>
          <w:rFonts w:asciiTheme="majorHAnsi" w:hAnsiTheme="majorHAnsi"/>
        </w:rPr>
        <w:t xml:space="preserve"> been updated. The form</w:t>
      </w:r>
      <w:r>
        <w:rPr>
          <w:rFonts w:asciiTheme="majorHAnsi" w:hAnsiTheme="majorHAnsi"/>
        </w:rPr>
        <w:t>s</w:t>
      </w:r>
      <w:r w:rsidR="0070546B">
        <w:rPr>
          <w:rFonts w:asciiTheme="majorHAnsi" w:hAnsiTheme="majorHAnsi"/>
        </w:rPr>
        <w:t xml:space="preserve"> reli</w:t>
      </w:r>
      <w:r>
        <w:rPr>
          <w:rFonts w:asciiTheme="majorHAnsi" w:hAnsiTheme="majorHAnsi"/>
        </w:rPr>
        <w:t>ed on for these instructions are</w:t>
      </w:r>
      <w:r w:rsidR="0070546B">
        <w:rPr>
          <w:rFonts w:asciiTheme="majorHAnsi" w:hAnsiTheme="majorHAnsi"/>
        </w:rPr>
        <w:t xml:space="preserve"> </w:t>
      </w:r>
      <w:r>
        <w:rPr>
          <w:rFonts w:asciiTheme="majorHAnsi" w:hAnsiTheme="majorHAnsi"/>
        </w:rPr>
        <w:t xml:space="preserve">the </w:t>
      </w:r>
      <w:r w:rsidR="0070546B">
        <w:rPr>
          <w:rFonts w:asciiTheme="majorHAnsi" w:hAnsiTheme="majorHAnsi"/>
        </w:rPr>
        <w:t>version</w:t>
      </w:r>
      <w:r>
        <w:rPr>
          <w:rFonts w:asciiTheme="majorHAnsi" w:hAnsiTheme="majorHAnsi"/>
        </w:rPr>
        <w:t>s</w:t>
      </w:r>
      <w:r w:rsidR="0070546B">
        <w:rPr>
          <w:rFonts w:asciiTheme="majorHAnsi" w:hAnsiTheme="majorHAnsi"/>
        </w:rPr>
        <w:t xml:space="preserve"> as of</w:t>
      </w:r>
      <w:r w:rsidR="04E5D762" w:rsidRPr="006C313C">
        <w:rPr>
          <w:rFonts w:asciiTheme="majorHAnsi" w:hAnsiTheme="majorHAnsi"/>
        </w:rPr>
        <w:t xml:space="preserve"> </w:t>
      </w:r>
      <w:r>
        <w:rPr>
          <w:rFonts w:asciiTheme="majorHAnsi" w:hAnsiTheme="majorHAnsi"/>
        </w:rPr>
        <w:t>2-12-2018</w:t>
      </w:r>
      <w:r w:rsidR="04E5D762" w:rsidRPr="006C313C">
        <w:rPr>
          <w:rFonts w:asciiTheme="majorHAnsi" w:hAnsiTheme="majorHAnsi"/>
        </w:rPr>
        <w:t xml:space="preserve">. </w:t>
      </w:r>
    </w:p>
    <w:p w14:paraId="4302B14C" w14:textId="77777777" w:rsidR="04E5D762" w:rsidRPr="006C313C" w:rsidRDefault="04E5D762" w:rsidP="04E5D762">
      <w:pPr>
        <w:rPr>
          <w:rFonts w:asciiTheme="majorHAnsi" w:eastAsia="Cambria" w:hAnsiTheme="majorHAnsi" w:cs="Cambria"/>
        </w:rPr>
      </w:pPr>
    </w:p>
    <w:p w14:paraId="09FD0F9B" w14:textId="0AC69E33" w:rsidR="04E5D762" w:rsidRPr="006C313C" w:rsidRDefault="0070546B" w:rsidP="04E5D762">
      <w:pPr>
        <w:rPr>
          <w:rFonts w:asciiTheme="majorHAnsi" w:eastAsia="Cambria" w:hAnsiTheme="majorHAnsi" w:cs="Cambria"/>
        </w:rPr>
      </w:pPr>
      <w:r>
        <w:rPr>
          <w:rFonts w:asciiTheme="majorHAnsi" w:eastAsia="Cambria" w:hAnsiTheme="majorHAnsi" w:cs="Cambria"/>
        </w:rPr>
        <w:t xml:space="preserve">For CLT sales, </w:t>
      </w:r>
      <w:r w:rsidR="008A552E">
        <w:rPr>
          <w:rFonts w:asciiTheme="majorHAnsi" w:eastAsia="Cambria" w:hAnsiTheme="majorHAnsi" w:cs="Cambria"/>
        </w:rPr>
        <w:t xml:space="preserve">both versions of </w:t>
      </w:r>
      <w:r>
        <w:rPr>
          <w:rFonts w:asciiTheme="majorHAnsi" w:eastAsia="Cambria" w:hAnsiTheme="majorHAnsi" w:cs="Cambria"/>
        </w:rPr>
        <w:t>t</w:t>
      </w:r>
      <w:r w:rsidR="008A552E">
        <w:rPr>
          <w:rFonts w:asciiTheme="majorHAnsi" w:eastAsia="Cambria" w:hAnsiTheme="majorHAnsi" w:cs="Cambria"/>
        </w:rPr>
        <w:t>he New Home Contract need to be modified as follows</w:t>
      </w:r>
      <w:r w:rsidR="00195EFE">
        <w:rPr>
          <w:rFonts w:asciiTheme="majorHAnsi" w:eastAsia="Cambria" w:hAnsiTheme="majorHAnsi" w:cs="Cambria"/>
        </w:rPr>
        <w:t>:</w:t>
      </w:r>
    </w:p>
    <w:p w14:paraId="5046A069" w14:textId="7191F46B" w:rsidR="00BD3334" w:rsidRDefault="00BD3334" w:rsidP="04E5D762">
      <w:pPr>
        <w:rPr>
          <w:rFonts w:asciiTheme="majorHAnsi" w:eastAsia="Cambria" w:hAnsiTheme="majorHAnsi" w:cs="Cambria"/>
        </w:rPr>
      </w:pPr>
    </w:p>
    <w:p w14:paraId="075AB1B9" w14:textId="58D25D96" w:rsidR="00195EFE" w:rsidRDefault="00195EFE" w:rsidP="00195EFE">
      <w:pPr>
        <w:pStyle w:val="ListParagraph"/>
        <w:numPr>
          <w:ilvl w:val="0"/>
          <w:numId w:val="4"/>
        </w:numPr>
        <w:rPr>
          <w:rFonts w:asciiTheme="majorHAnsi" w:eastAsia="Cambria" w:hAnsiTheme="majorHAnsi" w:cs="Cambria"/>
        </w:rPr>
      </w:pPr>
      <w:r>
        <w:rPr>
          <w:rFonts w:asciiTheme="majorHAnsi" w:eastAsia="Cambria" w:hAnsiTheme="majorHAnsi" w:cs="Cambria"/>
        </w:rPr>
        <w:t xml:space="preserve">An asterisk needs to be placed </w:t>
      </w:r>
      <w:r w:rsidR="0070546B">
        <w:rPr>
          <w:rFonts w:asciiTheme="majorHAnsi" w:eastAsia="Cambria" w:hAnsiTheme="majorHAnsi" w:cs="Cambria"/>
        </w:rPr>
        <w:t>at the end of paragraph</w:t>
      </w:r>
      <w:r>
        <w:rPr>
          <w:rFonts w:asciiTheme="majorHAnsi" w:eastAsia="Cambria" w:hAnsiTheme="majorHAnsi" w:cs="Cambria"/>
        </w:rPr>
        <w:t xml:space="preserve"> </w:t>
      </w:r>
      <w:r w:rsidRPr="007B3A61">
        <w:rPr>
          <w:rFonts w:asciiTheme="majorHAnsi" w:eastAsia="Cambria" w:hAnsiTheme="majorHAnsi" w:cs="Cambria"/>
        </w:rPr>
        <w:t>2. Property</w:t>
      </w:r>
      <w:r w:rsidR="00CF02C9">
        <w:rPr>
          <w:rFonts w:asciiTheme="majorHAnsi" w:eastAsia="Cambria" w:hAnsiTheme="majorHAnsi" w:cs="Cambria"/>
        </w:rPr>
        <w:t>, with this note</w:t>
      </w:r>
      <w:r w:rsidR="0070546B">
        <w:rPr>
          <w:rFonts w:asciiTheme="majorHAnsi" w:eastAsia="Cambria" w:hAnsiTheme="majorHAnsi" w:cs="Cambria"/>
        </w:rPr>
        <w:t xml:space="preserve">: </w:t>
      </w:r>
      <w:r>
        <w:rPr>
          <w:rFonts w:asciiTheme="majorHAnsi" w:eastAsia="Cambria" w:hAnsiTheme="majorHAnsi" w:cs="Cambria"/>
        </w:rPr>
        <w:t xml:space="preserve">“Seller is </w:t>
      </w:r>
      <w:r w:rsidR="0070546B">
        <w:rPr>
          <w:rFonts w:asciiTheme="majorHAnsi" w:eastAsia="Cambria" w:hAnsiTheme="majorHAnsi" w:cs="Cambria"/>
        </w:rPr>
        <w:t>selling</w:t>
      </w:r>
      <w:r>
        <w:rPr>
          <w:rFonts w:asciiTheme="majorHAnsi" w:eastAsia="Cambria" w:hAnsiTheme="majorHAnsi" w:cs="Cambria"/>
        </w:rPr>
        <w:t xml:space="preserve"> only the Improvements and not the Land.</w:t>
      </w:r>
      <w:r w:rsidR="0070546B">
        <w:rPr>
          <w:rFonts w:asciiTheme="majorHAnsi" w:eastAsia="Cambria" w:hAnsiTheme="majorHAnsi" w:cs="Cambria"/>
        </w:rPr>
        <w:t xml:space="preserve"> Seller will retain legal title to the Land. </w:t>
      </w:r>
      <w:r w:rsidR="00CF02C9">
        <w:rPr>
          <w:rFonts w:asciiTheme="majorHAnsi" w:eastAsia="Cambria" w:hAnsiTheme="majorHAnsi" w:cs="Cambria"/>
        </w:rPr>
        <w:t xml:space="preserve">Buyer’s title to the Improvements is subject to use, occupancy, and resale restrictions set forth in a recorded ground lease. </w:t>
      </w:r>
      <w:r w:rsidR="0070546B">
        <w:rPr>
          <w:rFonts w:asciiTheme="majorHAnsi" w:eastAsia="Cambria" w:hAnsiTheme="majorHAnsi" w:cs="Cambria"/>
        </w:rPr>
        <w:t>Se</w:t>
      </w:r>
      <w:r w:rsidR="00CF02C9">
        <w:rPr>
          <w:rFonts w:asciiTheme="majorHAnsi" w:eastAsia="Cambria" w:hAnsiTheme="majorHAnsi" w:cs="Cambria"/>
        </w:rPr>
        <w:t>e 11. Special Provisions, below, and Addendum with Outline of Ground Lease.</w:t>
      </w:r>
      <w:r w:rsidR="0070546B">
        <w:rPr>
          <w:rFonts w:asciiTheme="majorHAnsi" w:eastAsia="Cambria" w:hAnsiTheme="majorHAnsi" w:cs="Cambria"/>
        </w:rPr>
        <w:t>”</w:t>
      </w:r>
    </w:p>
    <w:p w14:paraId="0141C379" w14:textId="77777777" w:rsidR="0070546B" w:rsidRDefault="0070546B" w:rsidP="0070546B">
      <w:pPr>
        <w:pStyle w:val="ListParagraph"/>
        <w:rPr>
          <w:rFonts w:asciiTheme="majorHAnsi" w:eastAsia="Cambria" w:hAnsiTheme="majorHAnsi" w:cs="Cambria"/>
        </w:rPr>
      </w:pPr>
    </w:p>
    <w:p w14:paraId="5D783DB8" w14:textId="01C39E71" w:rsidR="00BD3334" w:rsidRDefault="0070546B" w:rsidP="0070546B">
      <w:pPr>
        <w:pStyle w:val="ListParagraph"/>
        <w:numPr>
          <w:ilvl w:val="0"/>
          <w:numId w:val="4"/>
        </w:numPr>
        <w:rPr>
          <w:rFonts w:asciiTheme="majorHAnsi" w:eastAsia="Cambria" w:hAnsiTheme="majorHAnsi" w:cs="Cambria"/>
        </w:rPr>
      </w:pPr>
      <w:r>
        <w:rPr>
          <w:rFonts w:asciiTheme="majorHAnsi" w:eastAsia="Cambria" w:hAnsiTheme="majorHAnsi" w:cs="Cambria"/>
        </w:rPr>
        <w:t xml:space="preserve">The following text needs to </w:t>
      </w:r>
      <w:r w:rsidR="000C1CBF">
        <w:rPr>
          <w:rFonts w:asciiTheme="majorHAnsi" w:eastAsia="Cambria" w:hAnsiTheme="majorHAnsi" w:cs="Cambria"/>
        </w:rPr>
        <w:t xml:space="preserve">be </w:t>
      </w:r>
      <w:r>
        <w:rPr>
          <w:rFonts w:asciiTheme="majorHAnsi" w:eastAsia="Cambria" w:hAnsiTheme="majorHAnsi" w:cs="Cambria"/>
        </w:rPr>
        <w:t>typed into 11. Special Provisions:</w:t>
      </w:r>
    </w:p>
    <w:p w14:paraId="71B4FD6B" w14:textId="77777777" w:rsidR="0070546B" w:rsidRPr="0070546B" w:rsidRDefault="0070546B" w:rsidP="0070546B">
      <w:pPr>
        <w:pStyle w:val="ListParagraph"/>
        <w:rPr>
          <w:rFonts w:asciiTheme="majorHAnsi" w:eastAsia="Cambria" w:hAnsiTheme="majorHAnsi" w:cs="Cambria"/>
        </w:rPr>
      </w:pPr>
    </w:p>
    <w:p w14:paraId="0FF2337F" w14:textId="5DD1F81D" w:rsidR="006C313C" w:rsidRDefault="0070546B" w:rsidP="006C313C">
      <w:pPr>
        <w:pStyle w:val="ListParagraph"/>
        <w:spacing w:after="200" w:line="276" w:lineRule="auto"/>
      </w:pPr>
      <w:r>
        <w:t>Seller is selling only the Improvements and not the Land. Title to the Improvements will be</w:t>
      </w:r>
      <w:r w:rsidR="008A552E">
        <w:t xml:space="preserve"> conveyed to Buyer via a Deed for Sale of</w:t>
      </w:r>
      <w:r>
        <w:t xml:space="preserve"> Improvements Only. Seller will lease the land from Buyer under a 99-year ground lease. See Addendum with Outline of Ground Lease. Seller shall provide Buyer with a copy of the ground lease within five (5) days of the execution of this New Home Contract. The ground lease will be signed and become effective on the Closing Date.</w:t>
      </w:r>
      <w:r w:rsidR="00481849">
        <w:t xml:space="preserve"> The ground lease contains resale restrictions and other restrictions related to the Buyer’</w:t>
      </w:r>
      <w:r w:rsidR="00CF02C9">
        <w:t>s use,</w:t>
      </w:r>
      <w:r w:rsidR="00481849">
        <w:t xml:space="preserve"> occupancy</w:t>
      </w:r>
      <w:r w:rsidR="00CF02C9">
        <w:t>, and transfer</w:t>
      </w:r>
      <w:r w:rsidR="00481849">
        <w:t xml:space="preserve"> of the Home.</w:t>
      </w:r>
    </w:p>
    <w:p w14:paraId="651B7E01" w14:textId="6ABDCDC5" w:rsidR="0070546B" w:rsidRDefault="0070546B" w:rsidP="006C313C">
      <w:pPr>
        <w:pStyle w:val="ListParagraph"/>
        <w:spacing w:after="200" w:line="276" w:lineRule="auto"/>
      </w:pPr>
    </w:p>
    <w:p w14:paraId="0E8BDD81" w14:textId="3CD397AF" w:rsidR="0070546B" w:rsidRDefault="0070546B" w:rsidP="0070546B">
      <w:pPr>
        <w:pStyle w:val="ListParagraph"/>
        <w:numPr>
          <w:ilvl w:val="0"/>
          <w:numId w:val="4"/>
        </w:numPr>
        <w:spacing w:after="200" w:line="276" w:lineRule="auto"/>
      </w:pPr>
      <w:r>
        <w:t>In Section 22, the following boxes need to be checked:</w:t>
      </w:r>
    </w:p>
    <w:p w14:paraId="0A18DF8B" w14:textId="77777777" w:rsidR="04E5D762" w:rsidRPr="006C313C" w:rsidRDefault="04E5D762" w:rsidP="04E5D762">
      <w:pPr>
        <w:pStyle w:val="ListParagraph"/>
        <w:numPr>
          <w:ilvl w:val="1"/>
          <w:numId w:val="1"/>
        </w:numPr>
        <w:rPr>
          <w:rFonts w:asciiTheme="majorHAnsi" w:hAnsiTheme="majorHAnsi"/>
        </w:rPr>
      </w:pPr>
      <w:r w:rsidRPr="006C313C">
        <w:rPr>
          <w:rFonts w:asciiTheme="majorHAnsi" w:eastAsia="Cambria" w:hAnsiTheme="majorHAnsi" w:cs="Cambria"/>
        </w:rPr>
        <w:t xml:space="preserve">Third Party Financing Addendum; </w:t>
      </w:r>
    </w:p>
    <w:p w14:paraId="6CEC2BB2" w14:textId="77777777" w:rsidR="04E5D762" w:rsidRPr="006C313C" w:rsidRDefault="04E5D762" w:rsidP="04E5D762">
      <w:pPr>
        <w:pStyle w:val="ListParagraph"/>
        <w:numPr>
          <w:ilvl w:val="1"/>
          <w:numId w:val="1"/>
        </w:numPr>
        <w:rPr>
          <w:rFonts w:asciiTheme="majorHAnsi" w:hAnsiTheme="majorHAnsi"/>
        </w:rPr>
      </w:pPr>
      <w:r w:rsidRPr="006C313C">
        <w:rPr>
          <w:rFonts w:asciiTheme="majorHAnsi" w:eastAsia="Cambria" w:hAnsiTheme="majorHAnsi" w:cs="Cambria"/>
        </w:rPr>
        <w:t>Addendum for Property Subject to Mandatory Membership in a Property Owners Association;</w:t>
      </w:r>
    </w:p>
    <w:p w14:paraId="7C5E3260" w14:textId="77777777" w:rsidR="04E5D762" w:rsidRPr="006C313C" w:rsidRDefault="04E5D762" w:rsidP="04E5D762">
      <w:pPr>
        <w:pStyle w:val="ListParagraph"/>
        <w:numPr>
          <w:ilvl w:val="1"/>
          <w:numId w:val="1"/>
        </w:numPr>
        <w:rPr>
          <w:rFonts w:asciiTheme="majorHAnsi" w:hAnsiTheme="majorHAnsi"/>
        </w:rPr>
      </w:pPr>
      <w:r w:rsidRPr="006C313C">
        <w:rPr>
          <w:rFonts w:asciiTheme="majorHAnsi" w:eastAsia="Cambria" w:hAnsiTheme="majorHAnsi" w:cs="Cambria"/>
        </w:rPr>
        <w:t xml:space="preserve">Addendum for Reservation of Oil, Gas and Other Minerals; and </w:t>
      </w:r>
    </w:p>
    <w:p w14:paraId="27176E06" w14:textId="6671BE5C" w:rsidR="04E5D762" w:rsidRDefault="0070546B" w:rsidP="00567C05">
      <w:pPr>
        <w:pStyle w:val="ListParagraph"/>
        <w:numPr>
          <w:ilvl w:val="1"/>
          <w:numId w:val="1"/>
        </w:numPr>
        <w:rPr>
          <w:rFonts w:asciiTheme="majorHAnsi" w:eastAsia="Cambria" w:hAnsiTheme="majorHAnsi" w:cs="Cambria"/>
        </w:rPr>
      </w:pPr>
      <w:r>
        <w:rPr>
          <w:rFonts w:asciiTheme="majorHAnsi" w:eastAsia="Cambria" w:hAnsiTheme="majorHAnsi" w:cs="Cambria"/>
        </w:rPr>
        <w:t xml:space="preserve">Other: </w:t>
      </w:r>
      <w:r w:rsidR="04E5D762" w:rsidRPr="006C313C">
        <w:rPr>
          <w:rFonts w:asciiTheme="majorHAnsi" w:eastAsia="Cambria" w:hAnsiTheme="majorHAnsi" w:cs="Cambria"/>
        </w:rPr>
        <w:t>"</w:t>
      </w:r>
      <w:r w:rsidR="00BD3334" w:rsidRPr="006C313C">
        <w:rPr>
          <w:rFonts w:asciiTheme="majorHAnsi" w:eastAsia="Cambria" w:hAnsiTheme="majorHAnsi" w:cs="Cambria"/>
        </w:rPr>
        <w:t>Addendum with</w:t>
      </w:r>
      <w:r w:rsidR="04E5D762" w:rsidRPr="006C313C">
        <w:rPr>
          <w:rFonts w:asciiTheme="majorHAnsi" w:eastAsia="Cambria" w:hAnsiTheme="majorHAnsi" w:cs="Cambria"/>
        </w:rPr>
        <w:t xml:space="preserve"> Outline of Ground Lease</w:t>
      </w:r>
      <w:r w:rsidR="00BD3334" w:rsidRPr="006C313C">
        <w:rPr>
          <w:rFonts w:asciiTheme="majorHAnsi" w:eastAsia="Cambria" w:hAnsiTheme="majorHAnsi" w:cs="Cambria"/>
        </w:rPr>
        <w:t>"</w:t>
      </w:r>
    </w:p>
    <w:p w14:paraId="2F75E7F6" w14:textId="77777777" w:rsidR="0070546B" w:rsidRDefault="0070546B" w:rsidP="0070546B">
      <w:pPr>
        <w:pStyle w:val="ListParagraph"/>
        <w:rPr>
          <w:rFonts w:asciiTheme="majorHAnsi" w:eastAsia="Cambria" w:hAnsiTheme="majorHAnsi" w:cs="Cambria"/>
        </w:rPr>
      </w:pPr>
    </w:p>
    <w:p w14:paraId="34A0B28E" w14:textId="7BF2A38D" w:rsidR="0070546B" w:rsidRPr="0070546B" w:rsidRDefault="0070546B" w:rsidP="0070546B">
      <w:pPr>
        <w:pStyle w:val="ListParagraph"/>
        <w:numPr>
          <w:ilvl w:val="0"/>
          <w:numId w:val="4"/>
        </w:numPr>
        <w:rPr>
          <w:rFonts w:asciiTheme="majorHAnsi" w:eastAsia="Cambria" w:hAnsiTheme="majorHAnsi" w:cs="Cambria"/>
        </w:rPr>
      </w:pPr>
      <w:r>
        <w:rPr>
          <w:rFonts w:asciiTheme="majorHAnsi" w:eastAsia="Cambria" w:hAnsiTheme="majorHAnsi" w:cs="Cambria"/>
        </w:rPr>
        <w:t>The Addendum with Outline of Ground Lease needs to be</w:t>
      </w:r>
      <w:r w:rsidR="008A552E">
        <w:rPr>
          <w:rFonts w:asciiTheme="majorHAnsi" w:eastAsia="Cambria" w:hAnsiTheme="majorHAnsi" w:cs="Cambria"/>
        </w:rPr>
        <w:t xml:space="preserve"> signed by GNDC and the Homeowners and</w:t>
      </w:r>
      <w:r>
        <w:rPr>
          <w:rFonts w:asciiTheme="majorHAnsi" w:eastAsia="Cambria" w:hAnsiTheme="majorHAnsi" w:cs="Cambria"/>
        </w:rPr>
        <w:t xml:space="preserve"> attached to the New Home Contract</w:t>
      </w:r>
      <w:r w:rsidR="008A552E">
        <w:rPr>
          <w:rFonts w:asciiTheme="majorHAnsi" w:eastAsia="Cambria" w:hAnsiTheme="majorHAnsi" w:cs="Cambria"/>
        </w:rPr>
        <w:t xml:space="preserve"> along with the other completed TREC Addendums</w:t>
      </w:r>
      <w:r>
        <w:rPr>
          <w:rFonts w:asciiTheme="majorHAnsi" w:eastAsia="Cambria" w:hAnsiTheme="majorHAnsi" w:cs="Cambria"/>
        </w:rPr>
        <w:t>.</w:t>
      </w:r>
    </w:p>
    <w:p w14:paraId="5EC4F1D7" w14:textId="77777777" w:rsidR="04E5D762" w:rsidRDefault="04E5D762" w:rsidP="04E5D762">
      <w:pPr>
        <w:rPr>
          <w:rFonts w:ascii="Cambria" w:eastAsia="Cambria" w:hAnsi="Cambria" w:cs="Cambria"/>
        </w:rPr>
      </w:pPr>
    </w:p>
    <w:p w14:paraId="6355702B" w14:textId="77777777" w:rsidR="00CD6778" w:rsidRDefault="00CD6778"/>
    <w:sectPr w:rsidR="00CD6778" w:rsidSect="008A552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63458" w14:textId="77777777" w:rsidR="00F21B63" w:rsidRDefault="00F21B63" w:rsidP="00123D27">
      <w:r>
        <w:separator/>
      </w:r>
    </w:p>
  </w:endnote>
  <w:endnote w:type="continuationSeparator" w:id="0">
    <w:p w14:paraId="4B91B1AE" w14:textId="77777777" w:rsidR="00F21B63" w:rsidRDefault="00F21B63" w:rsidP="00123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7F4F9" w14:textId="2730384A" w:rsidR="00D1788D" w:rsidRPr="000A4A62" w:rsidRDefault="008A552E" w:rsidP="00B4481D">
    <w:pPr>
      <w:pStyle w:val="Footer"/>
      <w:jc w:val="right"/>
      <w:rPr>
        <w:i/>
      </w:rPr>
    </w:pPr>
    <w:r>
      <w:rPr>
        <w:i/>
      </w:rPr>
      <w:t>Revised as of 6/5/2018</w:t>
    </w:r>
  </w:p>
  <w:p w14:paraId="15F79DB4" w14:textId="48B565DD" w:rsidR="00123D27" w:rsidRDefault="00123D27" w:rsidP="00B448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BC532" w14:textId="77777777" w:rsidR="00F21B63" w:rsidRDefault="00F21B63" w:rsidP="00123D27">
      <w:r>
        <w:separator/>
      </w:r>
    </w:p>
  </w:footnote>
  <w:footnote w:type="continuationSeparator" w:id="0">
    <w:p w14:paraId="0E5FB1D8" w14:textId="77777777" w:rsidR="00F21B63" w:rsidRDefault="00F21B63" w:rsidP="00123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601C8" w14:textId="201CF9E9" w:rsidR="00123D27" w:rsidRPr="00123D27" w:rsidRDefault="00123D27" w:rsidP="00123D27">
    <w:pPr>
      <w:pStyle w:val="Header"/>
      <w:jc w:val="right"/>
      <w:rPr>
        <w:b/>
      </w:rPr>
    </w:pPr>
    <w:r>
      <w:rPr>
        <w:b/>
      </w:rPr>
      <w:t>Internal Use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62929"/>
    <w:multiLevelType w:val="hybridMultilevel"/>
    <w:tmpl w:val="2DEC4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EA37A8"/>
    <w:multiLevelType w:val="hybridMultilevel"/>
    <w:tmpl w:val="E90C03CE"/>
    <w:lvl w:ilvl="0" w:tplc="3498F6B8">
      <w:start w:val="1"/>
      <w:numFmt w:val="bullet"/>
      <w:lvlText w:val=""/>
      <w:lvlJc w:val="left"/>
      <w:pPr>
        <w:ind w:left="720" w:hanging="360"/>
      </w:pPr>
      <w:rPr>
        <w:rFonts w:ascii="Symbol" w:hAnsi="Symbol" w:hint="default"/>
      </w:rPr>
    </w:lvl>
    <w:lvl w:ilvl="1" w:tplc="AB8EDD62">
      <w:start w:val="1"/>
      <w:numFmt w:val="bullet"/>
      <w:lvlText w:val="o"/>
      <w:lvlJc w:val="left"/>
      <w:pPr>
        <w:ind w:left="1440" w:hanging="360"/>
      </w:pPr>
      <w:rPr>
        <w:rFonts w:ascii="Courier New" w:hAnsi="Courier New" w:hint="default"/>
      </w:rPr>
    </w:lvl>
    <w:lvl w:ilvl="2" w:tplc="A0D82DA0">
      <w:start w:val="1"/>
      <w:numFmt w:val="bullet"/>
      <w:lvlText w:val=""/>
      <w:lvlJc w:val="left"/>
      <w:pPr>
        <w:ind w:left="2160" w:hanging="360"/>
      </w:pPr>
      <w:rPr>
        <w:rFonts w:ascii="Wingdings" w:hAnsi="Wingdings" w:hint="default"/>
      </w:rPr>
    </w:lvl>
    <w:lvl w:ilvl="3" w:tplc="9A621F02">
      <w:start w:val="1"/>
      <w:numFmt w:val="bullet"/>
      <w:lvlText w:val=""/>
      <w:lvlJc w:val="left"/>
      <w:pPr>
        <w:ind w:left="2880" w:hanging="360"/>
      </w:pPr>
      <w:rPr>
        <w:rFonts w:ascii="Symbol" w:hAnsi="Symbol" w:hint="default"/>
      </w:rPr>
    </w:lvl>
    <w:lvl w:ilvl="4" w:tplc="E08625C2">
      <w:start w:val="1"/>
      <w:numFmt w:val="bullet"/>
      <w:lvlText w:val="o"/>
      <w:lvlJc w:val="left"/>
      <w:pPr>
        <w:ind w:left="3600" w:hanging="360"/>
      </w:pPr>
      <w:rPr>
        <w:rFonts w:ascii="Courier New" w:hAnsi="Courier New" w:hint="default"/>
      </w:rPr>
    </w:lvl>
    <w:lvl w:ilvl="5" w:tplc="DF94CFA8">
      <w:start w:val="1"/>
      <w:numFmt w:val="bullet"/>
      <w:lvlText w:val=""/>
      <w:lvlJc w:val="left"/>
      <w:pPr>
        <w:ind w:left="4320" w:hanging="360"/>
      </w:pPr>
      <w:rPr>
        <w:rFonts w:ascii="Wingdings" w:hAnsi="Wingdings" w:hint="default"/>
      </w:rPr>
    </w:lvl>
    <w:lvl w:ilvl="6" w:tplc="E3F027B2">
      <w:start w:val="1"/>
      <w:numFmt w:val="bullet"/>
      <w:lvlText w:val=""/>
      <w:lvlJc w:val="left"/>
      <w:pPr>
        <w:ind w:left="5040" w:hanging="360"/>
      </w:pPr>
      <w:rPr>
        <w:rFonts w:ascii="Symbol" w:hAnsi="Symbol" w:hint="default"/>
      </w:rPr>
    </w:lvl>
    <w:lvl w:ilvl="7" w:tplc="582285AE">
      <w:start w:val="1"/>
      <w:numFmt w:val="bullet"/>
      <w:lvlText w:val="o"/>
      <w:lvlJc w:val="left"/>
      <w:pPr>
        <w:ind w:left="5760" w:hanging="360"/>
      </w:pPr>
      <w:rPr>
        <w:rFonts w:ascii="Courier New" w:hAnsi="Courier New" w:hint="default"/>
      </w:rPr>
    </w:lvl>
    <w:lvl w:ilvl="8" w:tplc="08DE7784">
      <w:start w:val="1"/>
      <w:numFmt w:val="bullet"/>
      <w:lvlText w:val=""/>
      <w:lvlJc w:val="left"/>
      <w:pPr>
        <w:ind w:left="6480" w:hanging="360"/>
      </w:pPr>
      <w:rPr>
        <w:rFonts w:ascii="Wingdings" w:hAnsi="Wingdings" w:hint="default"/>
      </w:rPr>
    </w:lvl>
  </w:abstractNum>
  <w:abstractNum w:abstractNumId="2" w15:restartNumberingAfterBreak="0">
    <w:nsid w:val="3FEB5593"/>
    <w:multiLevelType w:val="hybridMultilevel"/>
    <w:tmpl w:val="B4BC2A8C"/>
    <w:lvl w:ilvl="0" w:tplc="B8FE6B5A">
      <w:start w:val="1"/>
      <w:numFmt w:val="upperLetter"/>
      <w:lvlText w:val="%1."/>
      <w:lvlJc w:val="left"/>
      <w:pPr>
        <w:ind w:left="720" w:hanging="360"/>
      </w:pPr>
      <w:rPr>
        <w:sz w:val="24"/>
      </w:rPr>
    </w:lvl>
    <w:lvl w:ilvl="1" w:tplc="15A01670">
      <w:start w:val="1"/>
      <w:numFmt w:val="lowerLetter"/>
      <w:lvlText w:val="%2."/>
      <w:lvlJc w:val="left"/>
      <w:pPr>
        <w:ind w:left="1440" w:hanging="360"/>
      </w:pPr>
    </w:lvl>
    <w:lvl w:ilvl="2" w:tplc="17325652">
      <w:start w:val="1"/>
      <w:numFmt w:val="lowerRoman"/>
      <w:lvlText w:val="%3."/>
      <w:lvlJc w:val="right"/>
      <w:pPr>
        <w:ind w:left="2160" w:hanging="180"/>
      </w:pPr>
    </w:lvl>
    <w:lvl w:ilvl="3" w:tplc="1FB84450">
      <w:start w:val="1"/>
      <w:numFmt w:val="decimal"/>
      <w:lvlText w:val="%4."/>
      <w:lvlJc w:val="left"/>
      <w:pPr>
        <w:ind w:left="2880" w:hanging="360"/>
      </w:pPr>
    </w:lvl>
    <w:lvl w:ilvl="4" w:tplc="FEAC916E">
      <w:start w:val="1"/>
      <w:numFmt w:val="lowerLetter"/>
      <w:lvlText w:val="%5."/>
      <w:lvlJc w:val="left"/>
      <w:pPr>
        <w:ind w:left="3600" w:hanging="360"/>
      </w:pPr>
    </w:lvl>
    <w:lvl w:ilvl="5" w:tplc="A7805B76">
      <w:start w:val="1"/>
      <w:numFmt w:val="lowerRoman"/>
      <w:lvlText w:val="%6."/>
      <w:lvlJc w:val="right"/>
      <w:pPr>
        <w:ind w:left="4320" w:hanging="180"/>
      </w:pPr>
    </w:lvl>
    <w:lvl w:ilvl="6" w:tplc="2BCCA5EA">
      <w:start w:val="1"/>
      <w:numFmt w:val="decimal"/>
      <w:lvlText w:val="%7."/>
      <w:lvlJc w:val="left"/>
      <w:pPr>
        <w:ind w:left="5040" w:hanging="360"/>
      </w:pPr>
    </w:lvl>
    <w:lvl w:ilvl="7" w:tplc="97368962">
      <w:start w:val="1"/>
      <w:numFmt w:val="lowerLetter"/>
      <w:lvlText w:val="%8."/>
      <w:lvlJc w:val="left"/>
      <w:pPr>
        <w:ind w:left="5760" w:hanging="360"/>
      </w:pPr>
    </w:lvl>
    <w:lvl w:ilvl="8" w:tplc="DC5C4244">
      <w:start w:val="1"/>
      <w:numFmt w:val="lowerRoman"/>
      <w:lvlText w:val="%9."/>
      <w:lvlJc w:val="right"/>
      <w:pPr>
        <w:ind w:left="6480" w:hanging="180"/>
      </w:pPr>
    </w:lvl>
  </w:abstractNum>
  <w:abstractNum w:abstractNumId="3" w15:restartNumberingAfterBreak="0">
    <w:nsid w:val="60171F27"/>
    <w:multiLevelType w:val="hybridMultilevel"/>
    <w:tmpl w:val="46F47572"/>
    <w:lvl w:ilvl="0" w:tplc="D8D29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C75"/>
    <w:rsid w:val="000476E5"/>
    <w:rsid w:val="000844FF"/>
    <w:rsid w:val="000C1CBF"/>
    <w:rsid w:val="00122009"/>
    <w:rsid w:val="00123D27"/>
    <w:rsid w:val="00130F56"/>
    <w:rsid w:val="00193635"/>
    <w:rsid w:val="00195EFE"/>
    <w:rsid w:val="001A4666"/>
    <w:rsid w:val="00272CFC"/>
    <w:rsid w:val="002E53F3"/>
    <w:rsid w:val="0031183B"/>
    <w:rsid w:val="003D7370"/>
    <w:rsid w:val="00464777"/>
    <w:rsid w:val="00481849"/>
    <w:rsid w:val="00496157"/>
    <w:rsid w:val="00513180"/>
    <w:rsid w:val="00604258"/>
    <w:rsid w:val="00637BF8"/>
    <w:rsid w:val="006A0889"/>
    <w:rsid w:val="006C313C"/>
    <w:rsid w:val="006F749D"/>
    <w:rsid w:val="0070546B"/>
    <w:rsid w:val="00710CB4"/>
    <w:rsid w:val="00747C75"/>
    <w:rsid w:val="00751CA5"/>
    <w:rsid w:val="00772AA4"/>
    <w:rsid w:val="007B3A61"/>
    <w:rsid w:val="007C5114"/>
    <w:rsid w:val="008A552E"/>
    <w:rsid w:val="00B11521"/>
    <w:rsid w:val="00B4481D"/>
    <w:rsid w:val="00B511B7"/>
    <w:rsid w:val="00B76AE3"/>
    <w:rsid w:val="00BD3334"/>
    <w:rsid w:val="00C226B7"/>
    <w:rsid w:val="00CD6778"/>
    <w:rsid w:val="00CF02C9"/>
    <w:rsid w:val="00CF0EC5"/>
    <w:rsid w:val="00D10CFC"/>
    <w:rsid w:val="00D130DF"/>
    <w:rsid w:val="00D1788D"/>
    <w:rsid w:val="00D36BDF"/>
    <w:rsid w:val="00F21B63"/>
    <w:rsid w:val="00F751B7"/>
    <w:rsid w:val="00F93D6A"/>
    <w:rsid w:val="04E5D762"/>
    <w:rsid w:val="1214B3EA"/>
    <w:rsid w:val="37F0D2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1A1A2"/>
  <w15:docId w15:val="{88561E21-E839-48E1-A1EC-56F579AC1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C75"/>
    <w:pPr>
      <w:ind w:left="720"/>
      <w:contextualSpacing/>
    </w:pPr>
  </w:style>
  <w:style w:type="character" w:styleId="CommentReference">
    <w:name w:val="annotation reference"/>
    <w:basedOn w:val="DefaultParagraphFont"/>
    <w:uiPriority w:val="99"/>
    <w:semiHidden/>
    <w:unhideWhenUsed/>
    <w:rsid w:val="00604258"/>
    <w:rPr>
      <w:sz w:val="18"/>
      <w:szCs w:val="18"/>
    </w:rPr>
  </w:style>
  <w:style w:type="paragraph" w:styleId="CommentText">
    <w:name w:val="annotation text"/>
    <w:basedOn w:val="Normal"/>
    <w:link w:val="CommentTextChar"/>
    <w:uiPriority w:val="99"/>
    <w:semiHidden/>
    <w:unhideWhenUsed/>
    <w:rsid w:val="00604258"/>
  </w:style>
  <w:style w:type="character" w:customStyle="1" w:styleId="CommentTextChar">
    <w:name w:val="Comment Text Char"/>
    <w:basedOn w:val="DefaultParagraphFont"/>
    <w:link w:val="CommentText"/>
    <w:uiPriority w:val="99"/>
    <w:semiHidden/>
    <w:rsid w:val="00604258"/>
  </w:style>
  <w:style w:type="paragraph" w:styleId="CommentSubject">
    <w:name w:val="annotation subject"/>
    <w:basedOn w:val="CommentText"/>
    <w:next w:val="CommentText"/>
    <w:link w:val="CommentSubjectChar"/>
    <w:uiPriority w:val="99"/>
    <w:semiHidden/>
    <w:unhideWhenUsed/>
    <w:rsid w:val="00604258"/>
    <w:rPr>
      <w:b/>
      <w:bCs/>
      <w:sz w:val="20"/>
      <w:szCs w:val="20"/>
    </w:rPr>
  </w:style>
  <w:style w:type="character" w:customStyle="1" w:styleId="CommentSubjectChar">
    <w:name w:val="Comment Subject Char"/>
    <w:basedOn w:val="CommentTextChar"/>
    <w:link w:val="CommentSubject"/>
    <w:uiPriority w:val="99"/>
    <w:semiHidden/>
    <w:rsid w:val="00604258"/>
    <w:rPr>
      <w:b/>
      <w:bCs/>
      <w:sz w:val="20"/>
      <w:szCs w:val="20"/>
    </w:rPr>
  </w:style>
  <w:style w:type="paragraph" w:styleId="BalloonText">
    <w:name w:val="Balloon Text"/>
    <w:basedOn w:val="Normal"/>
    <w:link w:val="BalloonTextChar"/>
    <w:uiPriority w:val="99"/>
    <w:semiHidden/>
    <w:unhideWhenUsed/>
    <w:rsid w:val="006042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4258"/>
    <w:rPr>
      <w:rFonts w:ascii="Lucida Grande" w:hAnsi="Lucida Grande" w:cs="Lucida Grande"/>
      <w:sz w:val="18"/>
      <w:szCs w:val="18"/>
    </w:rPr>
  </w:style>
  <w:style w:type="character" w:styleId="Hyperlink">
    <w:name w:val="Hyperlink"/>
    <w:basedOn w:val="DefaultParagraphFont"/>
    <w:uiPriority w:val="99"/>
    <w:unhideWhenUsed/>
    <w:rsid w:val="00C226B7"/>
    <w:rPr>
      <w:color w:val="0000FF" w:themeColor="hyperlink"/>
      <w:u w:val="single"/>
    </w:rPr>
  </w:style>
  <w:style w:type="paragraph" w:styleId="Header">
    <w:name w:val="header"/>
    <w:basedOn w:val="Normal"/>
    <w:link w:val="HeaderChar"/>
    <w:uiPriority w:val="99"/>
    <w:unhideWhenUsed/>
    <w:rsid w:val="00123D27"/>
    <w:pPr>
      <w:tabs>
        <w:tab w:val="center" w:pos="4320"/>
        <w:tab w:val="right" w:pos="8640"/>
      </w:tabs>
    </w:pPr>
  </w:style>
  <w:style w:type="character" w:customStyle="1" w:styleId="HeaderChar">
    <w:name w:val="Header Char"/>
    <w:basedOn w:val="DefaultParagraphFont"/>
    <w:link w:val="Header"/>
    <w:uiPriority w:val="99"/>
    <w:rsid w:val="00123D27"/>
  </w:style>
  <w:style w:type="paragraph" w:styleId="Footer">
    <w:name w:val="footer"/>
    <w:basedOn w:val="Normal"/>
    <w:link w:val="FooterChar"/>
    <w:uiPriority w:val="99"/>
    <w:unhideWhenUsed/>
    <w:rsid w:val="00123D27"/>
    <w:pPr>
      <w:tabs>
        <w:tab w:val="center" w:pos="4320"/>
        <w:tab w:val="right" w:pos="8640"/>
      </w:tabs>
    </w:pPr>
  </w:style>
  <w:style w:type="character" w:customStyle="1" w:styleId="FooterChar">
    <w:name w:val="Footer Char"/>
    <w:basedOn w:val="DefaultParagraphFont"/>
    <w:link w:val="Footer"/>
    <w:uiPriority w:val="99"/>
    <w:rsid w:val="00123D27"/>
  </w:style>
  <w:style w:type="character" w:styleId="FollowedHyperlink">
    <w:name w:val="FollowedHyperlink"/>
    <w:basedOn w:val="DefaultParagraphFont"/>
    <w:uiPriority w:val="99"/>
    <w:semiHidden/>
    <w:unhideWhenUsed/>
    <w:rsid w:val="008A552E"/>
    <w:rPr>
      <w:color w:val="800080" w:themeColor="followedHyperlink"/>
      <w:u w:val="single"/>
    </w:rPr>
  </w:style>
  <w:style w:type="character" w:styleId="UnresolvedMention">
    <w:name w:val="Unresolved Mention"/>
    <w:basedOn w:val="DefaultParagraphFont"/>
    <w:uiPriority w:val="99"/>
    <w:semiHidden/>
    <w:unhideWhenUsed/>
    <w:rsid w:val="007C51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rec.texas.gov/forms/new-home-contract-incomplete-construction-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Bendele</dc:creator>
  <cp:keywords/>
  <dc:description/>
  <cp:lastModifiedBy>Martinez, Frances</cp:lastModifiedBy>
  <cp:revision>2</cp:revision>
  <cp:lastPrinted>2017-11-08T21:09:00Z</cp:lastPrinted>
  <dcterms:created xsi:type="dcterms:W3CDTF">2020-12-18T23:50:00Z</dcterms:created>
  <dcterms:modified xsi:type="dcterms:W3CDTF">2020-12-18T23:50:00Z</dcterms:modified>
</cp:coreProperties>
</file>