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ECBE" w14:textId="77777777" w:rsidR="00CE0A28" w:rsidRPr="004D7ACF" w:rsidRDefault="00CE0A28">
      <w:pPr>
        <w:rPr>
          <w:rFonts w:asciiTheme="minorHAnsi" w:hAnsiTheme="minorHAnsi"/>
          <w:b/>
          <w:sz w:val="40"/>
          <w:szCs w:val="40"/>
        </w:rPr>
      </w:pPr>
      <w:r w:rsidRPr="004D7ACF">
        <w:rPr>
          <w:rFonts w:asciiTheme="minorHAnsi" w:hAnsiTheme="minorHAnsi"/>
          <w:b/>
          <w:sz w:val="40"/>
          <w:szCs w:val="40"/>
        </w:rPr>
        <w:t xml:space="preserve">TQ </w:t>
      </w:r>
      <w:r w:rsidR="00F723B2" w:rsidRPr="004D7ACF">
        <w:rPr>
          <w:rFonts w:asciiTheme="minorHAnsi" w:hAnsiTheme="minorHAnsi"/>
          <w:b/>
          <w:color w:val="000000" w:themeColor="text1"/>
          <w:sz w:val="40"/>
          <w:szCs w:val="40"/>
        </w:rPr>
        <w:t>and LLM T</w:t>
      </w:r>
      <w:r w:rsidR="004641A4" w:rsidRPr="004D7ACF">
        <w:rPr>
          <w:rFonts w:asciiTheme="minorHAnsi" w:hAnsiTheme="minorHAnsi"/>
          <w:b/>
          <w:color w:val="000000" w:themeColor="text1"/>
          <w:sz w:val="40"/>
          <w:szCs w:val="40"/>
        </w:rPr>
        <w:t>Q</w:t>
      </w:r>
      <w:r w:rsidR="00F723B2" w:rsidRPr="004D7ACF">
        <w:rPr>
          <w:rFonts w:asciiTheme="minorHAnsi" w:hAnsiTheme="minorHAnsi"/>
          <w:b/>
          <w:sz w:val="40"/>
          <w:szCs w:val="40"/>
        </w:rPr>
        <w:t xml:space="preserve"> </w:t>
      </w:r>
      <w:r w:rsidRPr="004D7ACF">
        <w:rPr>
          <w:rFonts w:asciiTheme="minorHAnsi" w:hAnsiTheme="minorHAnsi"/>
          <w:b/>
          <w:sz w:val="40"/>
          <w:szCs w:val="40"/>
        </w:rPr>
        <w:t>candidacy information</w:t>
      </w:r>
    </w:p>
    <w:p w14:paraId="650BF8D5" w14:textId="0D73727F" w:rsidR="007E5707" w:rsidRPr="004D7ACF" w:rsidRDefault="007246F0">
      <w:pPr>
        <w:rPr>
          <w:rFonts w:asciiTheme="minorHAnsi" w:hAnsiTheme="minorHAnsi"/>
        </w:rPr>
      </w:pPr>
      <w:r w:rsidRPr="004D7ACF">
        <w:rPr>
          <w:rFonts w:asciiTheme="minorHAnsi" w:hAnsiTheme="minorHAnsi"/>
        </w:rPr>
        <w:t>202</w:t>
      </w:r>
      <w:r w:rsidR="004C7AED">
        <w:rPr>
          <w:rFonts w:asciiTheme="minorHAnsi" w:hAnsiTheme="minorHAnsi"/>
        </w:rPr>
        <w:t>5</w:t>
      </w:r>
      <w:r w:rsidR="00E07BCF" w:rsidRPr="004D7ACF">
        <w:rPr>
          <w:rFonts w:asciiTheme="minorHAnsi" w:hAnsiTheme="minorHAnsi"/>
        </w:rPr>
        <w:t>–20</w:t>
      </w:r>
      <w:r w:rsidR="00C23AEB" w:rsidRPr="004D7ACF">
        <w:rPr>
          <w:rFonts w:asciiTheme="minorHAnsi" w:hAnsiTheme="minorHAnsi"/>
        </w:rPr>
        <w:t>2</w:t>
      </w:r>
      <w:r w:rsidR="004C7AED">
        <w:rPr>
          <w:rFonts w:asciiTheme="minorHAnsi" w:hAnsiTheme="minorHAnsi"/>
        </w:rPr>
        <w:t>6</w:t>
      </w:r>
      <w:r w:rsidR="00CE0A28" w:rsidRPr="004D7ACF">
        <w:rPr>
          <w:rFonts w:asciiTheme="minorHAnsi" w:hAnsiTheme="minorHAnsi"/>
        </w:rPr>
        <w:t xml:space="preserve"> </w:t>
      </w:r>
      <w:r w:rsidR="0059461A" w:rsidRPr="004D7ACF">
        <w:rPr>
          <w:rFonts w:asciiTheme="minorHAnsi" w:hAnsiTheme="minorHAnsi"/>
        </w:rPr>
        <w:t>school</w:t>
      </w:r>
      <w:r w:rsidR="00CE0A28" w:rsidRPr="004D7ACF">
        <w:rPr>
          <w:rFonts w:asciiTheme="minorHAnsi" w:hAnsiTheme="minorHAnsi"/>
        </w:rPr>
        <w:t xml:space="preserve"> year</w:t>
      </w:r>
    </w:p>
    <w:p w14:paraId="1755EBFB" w14:textId="77777777" w:rsidR="007E5707" w:rsidRPr="004D7ACF" w:rsidRDefault="007E5707">
      <w:pPr>
        <w:rPr>
          <w:rFonts w:ascii="Century Gothic" w:hAnsi="Century Gothic"/>
          <w:sz w:val="22"/>
        </w:rPr>
      </w:pPr>
    </w:p>
    <w:p w14:paraId="564AC58A" w14:textId="77777777" w:rsidR="00C7537E" w:rsidRPr="004D7ACF" w:rsidRDefault="00C7537E">
      <w:pPr>
        <w:rPr>
          <w:rFonts w:ascii="Corbel" w:hAnsi="Corbel"/>
          <w:b/>
          <w:sz w:val="20"/>
          <w:szCs w:val="20"/>
        </w:rPr>
        <w:sectPr w:rsidR="00C7537E" w:rsidRPr="004D7ACF" w:rsidSect="00EF1E1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89124E" w14:textId="46CAAAD3" w:rsidR="00CE0A28" w:rsidRPr="004D7ACF" w:rsidRDefault="00485AAE">
      <w:pPr>
        <w:rPr>
          <w:rFonts w:asciiTheme="majorHAnsi" w:hAnsiTheme="majorHAnsi"/>
          <w:b/>
          <w:sz w:val="21"/>
          <w:szCs w:val="21"/>
        </w:rPr>
      </w:pPr>
      <w:r w:rsidRPr="004D7ACF">
        <w:rPr>
          <w:rFonts w:asciiTheme="majorHAnsi" w:hAnsiTheme="majorHAnsi"/>
          <w:b/>
          <w:sz w:val="21"/>
          <w:szCs w:val="21"/>
        </w:rPr>
        <w:t>What are TQs?</w:t>
      </w:r>
    </w:p>
    <w:p w14:paraId="4C00FB37" w14:textId="7280B243" w:rsidR="006114E3" w:rsidRDefault="00E3066F">
      <w:pPr>
        <w:rPr>
          <w:rFonts w:asciiTheme="majorHAnsi" w:hAnsiTheme="majorHAnsi"/>
          <w:sz w:val="21"/>
          <w:szCs w:val="21"/>
        </w:rPr>
      </w:pPr>
      <w:r w:rsidRPr="004D7ACF">
        <w:rPr>
          <w:rFonts w:asciiTheme="majorHAnsi" w:hAnsiTheme="majorHAnsi"/>
          <w:sz w:val="21"/>
          <w:szCs w:val="21"/>
        </w:rPr>
        <w:t>TQ</w:t>
      </w:r>
      <w:r w:rsidR="00C7537E" w:rsidRPr="004D7ACF">
        <w:rPr>
          <w:rFonts w:asciiTheme="majorHAnsi" w:hAnsiTheme="majorHAnsi"/>
          <w:sz w:val="21"/>
          <w:szCs w:val="21"/>
        </w:rPr>
        <w:t xml:space="preserve">s </w:t>
      </w:r>
      <w:r w:rsidR="00485AAE" w:rsidRPr="004D7ACF">
        <w:rPr>
          <w:rFonts w:asciiTheme="majorHAnsi" w:hAnsiTheme="majorHAnsi"/>
          <w:sz w:val="21"/>
          <w:szCs w:val="21"/>
        </w:rPr>
        <w:t xml:space="preserve">are </w:t>
      </w:r>
      <w:r w:rsidR="00554792">
        <w:rPr>
          <w:rFonts w:asciiTheme="majorHAnsi" w:hAnsiTheme="majorHAnsi"/>
          <w:sz w:val="21"/>
          <w:szCs w:val="21"/>
        </w:rPr>
        <w:t>academic</w:t>
      </w:r>
      <w:r w:rsidR="00485AAE" w:rsidRPr="004D7ACF">
        <w:rPr>
          <w:rFonts w:asciiTheme="majorHAnsi" w:hAnsiTheme="majorHAnsi"/>
          <w:sz w:val="21"/>
          <w:szCs w:val="21"/>
        </w:rPr>
        <w:t xml:space="preserve"> assistants for legal research and writing course</w:t>
      </w:r>
      <w:r w:rsidR="004278E6" w:rsidRPr="004D7ACF">
        <w:rPr>
          <w:rFonts w:asciiTheme="majorHAnsi" w:hAnsiTheme="majorHAnsi"/>
          <w:sz w:val="21"/>
          <w:szCs w:val="21"/>
        </w:rPr>
        <w:t>s</w:t>
      </w:r>
      <w:r w:rsidR="00485AAE" w:rsidRPr="004D7ACF">
        <w:rPr>
          <w:rFonts w:asciiTheme="majorHAnsi" w:hAnsiTheme="majorHAnsi"/>
          <w:sz w:val="21"/>
          <w:szCs w:val="21"/>
        </w:rPr>
        <w:t xml:space="preserve">. </w:t>
      </w:r>
      <w:r w:rsidR="00F033B2">
        <w:rPr>
          <w:rFonts w:asciiTheme="majorHAnsi" w:hAnsiTheme="majorHAnsi"/>
          <w:sz w:val="21"/>
          <w:szCs w:val="21"/>
        </w:rPr>
        <w:t xml:space="preserve">TQs </w:t>
      </w:r>
      <w:r w:rsidR="00E76DE4" w:rsidRPr="004D7ACF">
        <w:rPr>
          <w:rFonts w:asciiTheme="majorHAnsi" w:hAnsiTheme="majorHAnsi"/>
          <w:sz w:val="21"/>
          <w:szCs w:val="21"/>
        </w:rPr>
        <w:t>work with</w:t>
      </w:r>
      <w:r w:rsidR="00F11080" w:rsidRPr="004D7ACF">
        <w:rPr>
          <w:rFonts w:asciiTheme="majorHAnsi" w:hAnsiTheme="majorHAnsi"/>
          <w:sz w:val="21"/>
          <w:szCs w:val="21"/>
        </w:rPr>
        <w:t xml:space="preserve"> students on </w:t>
      </w:r>
      <w:r w:rsidRPr="004D7ACF">
        <w:rPr>
          <w:rFonts w:asciiTheme="majorHAnsi" w:hAnsiTheme="majorHAnsi"/>
          <w:sz w:val="21"/>
          <w:szCs w:val="21"/>
        </w:rPr>
        <w:t>assignments</w:t>
      </w:r>
      <w:r w:rsidR="00485AAE" w:rsidRPr="004D7ACF">
        <w:rPr>
          <w:rFonts w:asciiTheme="majorHAnsi" w:hAnsiTheme="majorHAnsi"/>
          <w:sz w:val="21"/>
          <w:szCs w:val="21"/>
        </w:rPr>
        <w:t xml:space="preserve"> and </w:t>
      </w:r>
      <w:r w:rsidR="00E76DE4" w:rsidRPr="004D7ACF">
        <w:rPr>
          <w:rFonts w:asciiTheme="majorHAnsi" w:hAnsiTheme="majorHAnsi"/>
          <w:sz w:val="21"/>
          <w:szCs w:val="21"/>
        </w:rPr>
        <w:t>give</w:t>
      </w:r>
      <w:r w:rsidR="00C23AEB" w:rsidRPr="004D7ACF">
        <w:rPr>
          <w:rFonts w:asciiTheme="majorHAnsi" w:hAnsiTheme="majorHAnsi"/>
          <w:sz w:val="21"/>
          <w:szCs w:val="21"/>
        </w:rPr>
        <w:t xml:space="preserve"> feedback</w:t>
      </w:r>
      <w:r w:rsidR="00F11080" w:rsidRPr="004D7ACF">
        <w:rPr>
          <w:rFonts w:asciiTheme="majorHAnsi" w:hAnsiTheme="majorHAnsi"/>
          <w:sz w:val="21"/>
          <w:szCs w:val="21"/>
        </w:rPr>
        <w:t xml:space="preserve">. </w:t>
      </w:r>
      <w:r w:rsidR="00F033B2">
        <w:rPr>
          <w:rFonts w:asciiTheme="majorHAnsi" w:hAnsiTheme="majorHAnsi"/>
          <w:sz w:val="21"/>
          <w:szCs w:val="21"/>
        </w:rPr>
        <w:t xml:space="preserve">TQs </w:t>
      </w:r>
      <w:r w:rsidR="00C7537E" w:rsidRPr="004D7ACF">
        <w:rPr>
          <w:rFonts w:asciiTheme="majorHAnsi" w:hAnsiTheme="majorHAnsi"/>
          <w:sz w:val="21"/>
          <w:szCs w:val="21"/>
        </w:rPr>
        <w:t xml:space="preserve">may </w:t>
      </w:r>
      <w:r w:rsidR="00251778" w:rsidRPr="004D7ACF">
        <w:rPr>
          <w:rFonts w:asciiTheme="majorHAnsi" w:hAnsiTheme="majorHAnsi"/>
          <w:sz w:val="21"/>
          <w:szCs w:val="21"/>
        </w:rPr>
        <w:t xml:space="preserve">attend </w:t>
      </w:r>
      <w:r w:rsidR="006C6B23" w:rsidRPr="004D7ACF">
        <w:rPr>
          <w:rFonts w:asciiTheme="majorHAnsi" w:hAnsiTheme="majorHAnsi"/>
          <w:sz w:val="21"/>
          <w:szCs w:val="21"/>
        </w:rPr>
        <w:t>classes</w:t>
      </w:r>
      <w:r w:rsidR="00F033B2">
        <w:rPr>
          <w:rFonts w:asciiTheme="majorHAnsi" w:hAnsiTheme="majorHAnsi"/>
          <w:sz w:val="21"/>
          <w:szCs w:val="21"/>
        </w:rPr>
        <w:t>, hold office hours, and hear oral</w:t>
      </w:r>
      <w:r w:rsidR="00AB1415">
        <w:rPr>
          <w:rFonts w:asciiTheme="majorHAnsi" w:hAnsiTheme="majorHAnsi"/>
          <w:sz w:val="21"/>
          <w:szCs w:val="21"/>
        </w:rPr>
        <w:t xml:space="preserve"> reports and </w:t>
      </w:r>
      <w:r w:rsidR="00F033B2">
        <w:rPr>
          <w:rFonts w:asciiTheme="majorHAnsi" w:hAnsiTheme="majorHAnsi"/>
          <w:sz w:val="21"/>
          <w:szCs w:val="21"/>
        </w:rPr>
        <w:t>arguments</w:t>
      </w:r>
      <w:r w:rsidR="008D0FD5">
        <w:rPr>
          <w:rFonts w:asciiTheme="majorHAnsi" w:hAnsiTheme="majorHAnsi"/>
          <w:sz w:val="21"/>
          <w:szCs w:val="21"/>
        </w:rPr>
        <w:t xml:space="preserve">. </w:t>
      </w:r>
    </w:p>
    <w:p w14:paraId="3D7941CA" w14:textId="77777777" w:rsidR="006114E3" w:rsidRDefault="006114E3">
      <w:pPr>
        <w:rPr>
          <w:rFonts w:asciiTheme="majorHAnsi" w:hAnsiTheme="majorHAnsi"/>
          <w:sz w:val="21"/>
          <w:szCs w:val="21"/>
        </w:rPr>
      </w:pPr>
    </w:p>
    <w:p w14:paraId="5E9005A3" w14:textId="4D0C78C3" w:rsidR="007E5707" w:rsidRPr="00B261FD" w:rsidRDefault="00B261FD">
      <w:pPr>
        <w:rPr>
          <w:rFonts w:asciiTheme="majorHAnsi" w:hAnsiTheme="majorHAnsi"/>
          <w:iCs/>
          <w:sz w:val="21"/>
          <w:szCs w:val="21"/>
        </w:rPr>
      </w:pPr>
      <w:r w:rsidRPr="00515A10">
        <w:rPr>
          <w:rFonts w:asciiTheme="majorHAnsi" w:hAnsiTheme="majorHAnsi"/>
          <w:iCs/>
          <w:sz w:val="21"/>
          <w:szCs w:val="21"/>
        </w:rPr>
        <w:t xml:space="preserve">TQ candidates must be </w:t>
      </w:r>
      <w:r w:rsidR="0070241A" w:rsidRPr="00515A10">
        <w:rPr>
          <w:rFonts w:asciiTheme="majorHAnsi" w:hAnsiTheme="majorHAnsi"/>
          <w:iCs/>
          <w:sz w:val="21"/>
          <w:szCs w:val="21"/>
        </w:rPr>
        <w:t>authorized</w:t>
      </w:r>
      <w:r w:rsidRPr="00515A10">
        <w:rPr>
          <w:rFonts w:asciiTheme="majorHAnsi" w:hAnsiTheme="majorHAnsi"/>
          <w:iCs/>
          <w:sz w:val="21"/>
          <w:szCs w:val="21"/>
        </w:rPr>
        <w:t xml:space="preserve"> to work in the United States.</w:t>
      </w:r>
      <w:r w:rsidR="00EB016D">
        <w:rPr>
          <w:rFonts w:asciiTheme="majorHAnsi" w:hAnsiTheme="majorHAnsi"/>
          <w:iCs/>
          <w:sz w:val="21"/>
          <w:szCs w:val="21"/>
        </w:rPr>
        <w:t xml:space="preserve"> </w:t>
      </w:r>
      <w:r w:rsidR="003C169A">
        <w:rPr>
          <w:rFonts w:asciiTheme="majorHAnsi" w:hAnsiTheme="majorHAnsi"/>
          <w:iCs/>
          <w:sz w:val="21"/>
          <w:szCs w:val="21"/>
        </w:rPr>
        <w:t xml:space="preserve">TQs must be enrolled for a minimum of 9 hours </w:t>
      </w:r>
      <w:r w:rsidR="006114E3">
        <w:rPr>
          <w:rFonts w:asciiTheme="majorHAnsi" w:hAnsiTheme="majorHAnsi"/>
          <w:iCs/>
          <w:sz w:val="21"/>
          <w:szCs w:val="21"/>
        </w:rPr>
        <w:t xml:space="preserve">during each </w:t>
      </w:r>
      <w:r w:rsidR="003C169A">
        <w:rPr>
          <w:rFonts w:asciiTheme="majorHAnsi" w:hAnsiTheme="majorHAnsi"/>
          <w:iCs/>
          <w:sz w:val="21"/>
          <w:szCs w:val="21"/>
        </w:rPr>
        <w:t>semester</w:t>
      </w:r>
      <w:r w:rsidR="006114E3">
        <w:rPr>
          <w:rFonts w:asciiTheme="majorHAnsi" w:hAnsiTheme="majorHAnsi"/>
          <w:iCs/>
          <w:sz w:val="21"/>
          <w:szCs w:val="21"/>
        </w:rPr>
        <w:t xml:space="preserve"> they work</w:t>
      </w:r>
      <w:r w:rsidR="003C169A">
        <w:rPr>
          <w:rFonts w:asciiTheme="majorHAnsi" w:hAnsiTheme="majorHAnsi"/>
          <w:iCs/>
          <w:sz w:val="21"/>
          <w:szCs w:val="21"/>
        </w:rPr>
        <w:t>.</w:t>
      </w:r>
      <w:r w:rsidR="00B0332D">
        <w:rPr>
          <w:rFonts w:asciiTheme="majorHAnsi" w:hAnsiTheme="majorHAnsi"/>
          <w:iCs/>
          <w:sz w:val="21"/>
          <w:szCs w:val="21"/>
        </w:rPr>
        <w:t xml:space="preserve">  Candidates without a current criminal history background check on file with the University will be required to authorize one.</w:t>
      </w:r>
    </w:p>
    <w:p w14:paraId="1C4621A4" w14:textId="6C28FA1B" w:rsidR="00515A10" w:rsidRDefault="00B0332D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  </w:t>
      </w:r>
    </w:p>
    <w:p w14:paraId="6E509A81" w14:textId="341F2979" w:rsidR="00515A10" w:rsidRPr="004D7ACF" w:rsidRDefault="00515A10" w:rsidP="00515A10">
      <w:pPr>
        <w:rPr>
          <w:rFonts w:asciiTheme="majorHAnsi" w:hAnsiTheme="majorHAnsi"/>
          <w:b/>
          <w:sz w:val="21"/>
          <w:szCs w:val="21"/>
        </w:rPr>
      </w:pPr>
      <w:r w:rsidRPr="004D7ACF">
        <w:rPr>
          <w:rFonts w:asciiTheme="majorHAnsi" w:hAnsiTheme="majorHAnsi"/>
          <w:b/>
          <w:sz w:val="21"/>
          <w:szCs w:val="21"/>
        </w:rPr>
        <w:t>What TQ</w:t>
      </w:r>
      <w:r>
        <w:rPr>
          <w:rFonts w:asciiTheme="majorHAnsi" w:hAnsiTheme="majorHAnsi"/>
          <w:b/>
          <w:sz w:val="21"/>
          <w:szCs w:val="21"/>
        </w:rPr>
        <w:t xml:space="preserve"> positions are available</w:t>
      </w:r>
      <w:r w:rsidRPr="004D7ACF">
        <w:rPr>
          <w:rFonts w:asciiTheme="majorHAnsi" w:hAnsiTheme="majorHAnsi"/>
          <w:b/>
          <w:sz w:val="21"/>
          <w:szCs w:val="21"/>
        </w:rPr>
        <w:t>?</w:t>
      </w:r>
    </w:p>
    <w:p w14:paraId="40E7BC7E" w14:textId="3C4F38AB" w:rsidR="00C1030D" w:rsidRDefault="008D0FD5" w:rsidP="00C1030D">
      <w:pPr>
        <w:rPr>
          <w:rFonts w:asciiTheme="majorHAnsi" w:hAnsiTheme="majorHAnsi"/>
          <w:sz w:val="21"/>
          <w:szCs w:val="21"/>
        </w:rPr>
      </w:pPr>
      <w:r w:rsidRPr="00AB1415">
        <w:rPr>
          <w:rFonts w:asciiTheme="majorHAnsi" w:hAnsiTheme="majorHAnsi"/>
          <w:b/>
          <w:bCs/>
          <w:sz w:val="21"/>
          <w:szCs w:val="21"/>
        </w:rPr>
        <w:t>TQs</w:t>
      </w:r>
      <w:r w:rsidRPr="00C1030D">
        <w:rPr>
          <w:rFonts w:asciiTheme="majorHAnsi" w:hAnsiTheme="majorHAnsi"/>
          <w:sz w:val="21"/>
          <w:szCs w:val="21"/>
        </w:rPr>
        <w:t>—</w:t>
      </w:r>
      <w:r w:rsidR="00554792">
        <w:rPr>
          <w:rFonts w:asciiTheme="majorHAnsi" w:hAnsiTheme="majorHAnsi"/>
          <w:sz w:val="21"/>
          <w:szCs w:val="21"/>
        </w:rPr>
        <w:t>academic</w:t>
      </w:r>
      <w:r w:rsidRPr="00C1030D">
        <w:rPr>
          <w:rFonts w:asciiTheme="majorHAnsi" w:hAnsiTheme="majorHAnsi"/>
          <w:sz w:val="21"/>
          <w:szCs w:val="21"/>
        </w:rPr>
        <w:t xml:space="preserve"> assistants</w:t>
      </w:r>
      <w:r w:rsidR="00C1030D">
        <w:rPr>
          <w:rFonts w:asciiTheme="majorHAnsi" w:hAnsiTheme="majorHAnsi"/>
          <w:sz w:val="21"/>
          <w:szCs w:val="21"/>
        </w:rPr>
        <w:t xml:space="preserve"> for the 1L courses</w:t>
      </w:r>
    </w:p>
    <w:p w14:paraId="750C6570" w14:textId="18E21015" w:rsidR="00AB1415" w:rsidRDefault="00AB1415" w:rsidP="00AB1415">
      <w:pPr>
        <w:rPr>
          <w:rFonts w:asciiTheme="majorHAnsi" w:hAnsiTheme="majorHAnsi"/>
          <w:sz w:val="21"/>
          <w:szCs w:val="21"/>
        </w:rPr>
      </w:pPr>
      <w:r w:rsidRPr="00AB1415">
        <w:rPr>
          <w:rFonts w:asciiTheme="majorHAnsi" w:hAnsiTheme="majorHAnsi"/>
          <w:b/>
          <w:bCs/>
          <w:sz w:val="21"/>
          <w:szCs w:val="21"/>
        </w:rPr>
        <w:t>Lead TQs</w:t>
      </w:r>
      <w:r>
        <w:rPr>
          <w:rFonts w:asciiTheme="majorHAnsi" w:hAnsiTheme="majorHAnsi"/>
          <w:sz w:val="21"/>
          <w:szCs w:val="21"/>
        </w:rPr>
        <w:t>—TQs who take on additional responsibilities</w:t>
      </w:r>
      <w:r w:rsidR="00404EDE">
        <w:rPr>
          <w:rFonts w:asciiTheme="majorHAnsi" w:hAnsiTheme="majorHAnsi"/>
          <w:sz w:val="21"/>
          <w:szCs w:val="21"/>
        </w:rPr>
        <w:t xml:space="preserve"> for </w:t>
      </w:r>
      <w:r>
        <w:rPr>
          <w:rFonts w:asciiTheme="majorHAnsi" w:hAnsiTheme="majorHAnsi"/>
          <w:sz w:val="21"/>
          <w:szCs w:val="21"/>
        </w:rPr>
        <w:t>a writing lecturer</w:t>
      </w:r>
    </w:p>
    <w:p w14:paraId="400471E7" w14:textId="007C2771" w:rsidR="00404EDE" w:rsidRDefault="00404EDE" w:rsidP="00404EDE">
      <w:pPr>
        <w:rPr>
          <w:rFonts w:asciiTheme="majorHAnsi" w:hAnsiTheme="majorHAnsi"/>
          <w:sz w:val="21"/>
          <w:szCs w:val="21"/>
        </w:rPr>
      </w:pPr>
      <w:r w:rsidRPr="00AB1415">
        <w:rPr>
          <w:rFonts w:asciiTheme="majorHAnsi" w:hAnsiTheme="majorHAnsi"/>
          <w:b/>
          <w:bCs/>
          <w:sz w:val="21"/>
          <w:szCs w:val="21"/>
        </w:rPr>
        <w:t>Senior TQ</w:t>
      </w:r>
      <w:r>
        <w:rPr>
          <w:rFonts w:asciiTheme="majorHAnsi" w:hAnsiTheme="majorHAnsi"/>
          <w:sz w:val="21"/>
          <w:szCs w:val="21"/>
        </w:rPr>
        <w:t>—</w:t>
      </w:r>
      <w:r w:rsidR="00B13DE7">
        <w:rPr>
          <w:rFonts w:asciiTheme="majorHAnsi" w:hAnsiTheme="majorHAnsi"/>
          <w:sz w:val="21"/>
          <w:szCs w:val="21"/>
        </w:rPr>
        <w:t xml:space="preserve">A </w:t>
      </w:r>
      <w:r>
        <w:rPr>
          <w:rFonts w:asciiTheme="majorHAnsi" w:hAnsiTheme="majorHAnsi"/>
          <w:sz w:val="21"/>
          <w:szCs w:val="21"/>
        </w:rPr>
        <w:t>TQ who take</w:t>
      </w:r>
      <w:r w:rsidR="00B13DE7">
        <w:rPr>
          <w:rFonts w:asciiTheme="majorHAnsi" w:hAnsiTheme="majorHAnsi"/>
          <w:sz w:val="21"/>
          <w:szCs w:val="21"/>
        </w:rPr>
        <w:t>s</w:t>
      </w:r>
      <w:r>
        <w:rPr>
          <w:rFonts w:asciiTheme="majorHAnsi" w:hAnsiTheme="majorHAnsi"/>
          <w:sz w:val="21"/>
          <w:szCs w:val="21"/>
        </w:rPr>
        <w:t xml:space="preserve"> on additional, program-wide responsibilities</w:t>
      </w:r>
    </w:p>
    <w:p w14:paraId="1AE683DC" w14:textId="38F4E2EF" w:rsidR="00515A10" w:rsidRPr="002863F7" w:rsidRDefault="00C1030D" w:rsidP="00C1030D">
      <w:pPr>
        <w:rPr>
          <w:rFonts w:asciiTheme="majorHAnsi" w:hAnsiTheme="majorHAnsi"/>
          <w:iCs/>
          <w:sz w:val="21"/>
          <w:szCs w:val="21"/>
        </w:rPr>
      </w:pPr>
      <w:r w:rsidRPr="00AB1415">
        <w:rPr>
          <w:rFonts w:asciiTheme="majorHAnsi" w:hAnsiTheme="majorHAnsi"/>
          <w:b/>
          <w:bCs/>
          <w:sz w:val="21"/>
          <w:szCs w:val="21"/>
        </w:rPr>
        <w:t>LLM TQs</w:t>
      </w:r>
      <w:r>
        <w:rPr>
          <w:rFonts w:asciiTheme="majorHAnsi" w:hAnsiTheme="majorHAnsi"/>
          <w:sz w:val="21"/>
          <w:szCs w:val="21"/>
        </w:rPr>
        <w:t>—</w:t>
      </w:r>
      <w:r w:rsidR="00554792">
        <w:rPr>
          <w:rFonts w:asciiTheme="majorHAnsi" w:hAnsiTheme="majorHAnsi"/>
          <w:sz w:val="21"/>
          <w:szCs w:val="21"/>
        </w:rPr>
        <w:t>academic</w:t>
      </w:r>
      <w:r>
        <w:rPr>
          <w:rFonts w:asciiTheme="majorHAnsi" w:hAnsiTheme="majorHAnsi"/>
          <w:sz w:val="21"/>
          <w:szCs w:val="21"/>
        </w:rPr>
        <w:t xml:space="preserve"> assistants for the Legal Research and Writing for Foreign Lawyers course</w:t>
      </w:r>
      <w:r w:rsidR="002863F7">
        <w:rPr>
          <w:rFonts w:asciiTheme="majorHAnsi" w:hAnsiTheme="majorHAnsi"/>
          <w:sz w:val="21"/>
          <w:szCs w:val="21"/>
        </w:rPr>
        <w:t xml:space="preserve"> </w:t>
      </w:r>
    </w:p>
    <w:p w14:paraId="75333115" w14:textId="38B3A513" w:rsidR="00C1030D" w:rsidRDefault="00C1030D">
      <w:pPr>
        <w:rPr>
          <w:rFonts w:asciiTheme="majorHAnsi" w:hAnsiTheme="majorHAnsi"/>
          <w:sz w:val="21"/>
          <w:szCs w:val="21"/>
        </w:rPr>
      </w:pPr>
      <w:r w:rsidRPr="00AB1415">
        <w:rPr>
          <w:rFonts w:asciiTheme="majorHAnsi" w:hAnsiTheme="majorHAnsi"/>
          <w:b/>
          <w:bCs/>
          <w:sz w:val="21"/>
          <w:szCs w:val="21"/>
        </w:rPr>
        <w:t>Lead LLM TQ</w:t>
      </w:r>
      <w:r>
        <w:rPr>
          <w:rFonts w:asciiTheme="majorHAnsi" w:hAnsiTheme="majorHAnsi"/>
          <w:sz w:val="21"/>
          <w:szCs w:val="21"/>
        </w:rPr>
        <w:t>—an LLM TQ who takes on additional responsibilities for the LLM course</w:t>
      </w:r>
    </w:p>
    <w:p w14:paraId="25ABF815" w14:textId="77777777" w:rsidR="00C1030D" w:rsidRDefault="00C1030D">
      <w:pPr>
        <w:rPr>
          <w:rFonts w:asciiTheme="majorHAnsi" w:hAnsiTheme="majorHAnsi"/>
          <w:sz w:val="21"/>
          <w:szCs w:val="21"/>
        </w:rPr>
      </w:pPr>
    </w:p>
    <w:p w14:paraId="51105E6B" w14:textId="185D5B20" w:rsidR="00485AAE" w:rsidRPr="004D7ACF" w:rsidRDefault="00C63ED4">
      <w:pPr>
        <w:rPr>
          <w:rFonts w:asciiTheme="majorHAnsi" w:hAnsiTheme="majorHAnsi"/>
          <w:b/>
          <w:sz w:val="21"/>
          <w:szCs w:val="21"/>
        </w:rPr>
      </w:pPr>
      <w:r w:rsidRPr="004D7ACF">
        <w:rPr>
          <w:rFonts w:asciiTheme="majorHAnsi" w:hAnsiTheme="majorHAnsi"/>
          <w:b/>
          <w:sz w:val="21"/>
          <w:szCs w:val="21"/>
        </w:rPr>
        <w:t>Do I take a course?</w:t>
      </w:r>
    </w:p>
    <w:p w14:paraId="7C030124" w14:textId="09055F72" w:rsidR="00E3066F" w:rsidRPr="004D7ACF" w:rsidRDefault="00C63ED4">
      <w:pPr>
        <w:rPr>
          <w:rFonts w:asciiTheme="majorHAnsi" w:hAnsiTheme="majorHAnsi"/>
          <w:sz w:val="21"/>
          <w:szCs w:val="21"/>
        </w:rPr>
      </w:pPr>
      <w:r w:rsidRPr="004D7ACF">
        <w:rPr>
          <w:rFonts w:asciiTheme="majorHAnsi" w:hAnsiTheme="majorHAnsi"/>
          <w:sz w:val="21"/>
          <w:szCs w:val="21"/>
        </w:rPr>
        <w:t xml:space="preserve">Yes. </w:t>
      </w:r>
      <w:r w:rsidR="00C7537E" w:rsidRPr="004D7ACF">
        <w:rPr>
          <w:rFonts w:asciiTheme="majorHAnsi" w:hAnsiTheme="majorHAnsi"/>
          <w:sz w:val="21"/>
          <w:szCs w:val="21"/>
        </w:rPr>
        <w:t xml:space="preserve">If </w:t>
      </w:r>
      <w:r w:rsidR="00E76DE4" w:rsidRPr="004D7ACF">
        <w:rPr>
          <w:rFonts w:asciiTheme="majorHAnsi" w:hAnsiTheme="majorHAnsi"/>
          <w:sz w:val="21"/>
          <w:szCs w:val="21"/>
        </w:rPr>
        <w:t>hired</w:t>
      </w:r>
      <w:r w:rsidR="00C7537E" w:rsidRPr="004D7ACF">
        <w:rPr>
          <w:rFonts w:asciiTheme="majorHAnsi" w:hAnsiTheme="majorHAnsi"/>
          <w:sz w:val="21"/>
          <w:szCs w:val="21"/>
        </w:rPr>
        <w:t xml:space="preserve">, </w:t>
      </w:r>
      <w:r w:rsidR="00404EDE">
        <w:rPr>
          <w:rFonts w:asciiTheme="majorHAnsi" w:hAnsiTheme="majorHAnsi"/>
          <w:sz w:val="21"/>
          <w:szCs w:val="21"/>
        </w:rPr>
        <w:t>new TQs will</w:t>
      </w:r>
      <w:r w:rsidR="00E3066F" w:rsidRPr="004D7ACF">
        <w:rPr>
          <w:rFonts w:asciiTheme="majorHAnsi" w:hAnsiTheme="majorHAnsi"/>
          <w:sz w:val="21"/>
          <w:szCs w:val="21"/>
        </w:rPr>
        <w:t xml:space="preserve"> take a </w:t>
      </w:r>
      <w:r w:rsidR="001E6914" w:rsidRPr="004D7ACF">
        <w:rPr>
          <w:rFonts w:asciiTheme="majorHAnsi" w:hAnsiTheme="majorHAnsi"/>
          <w:sz w:val="21"/>
          <w:szCs w:val="21"/>
        </w:rPr>
        <w:t xml:space="preserve">required, </w:t>
      </w:r>
      <w:r w:rsidR="006C6B23" w:rsidRPr="004D7ACF">
        <w:rPr>
          <w:rFonts w:asciiTheme="majorHAnsi" w:hAnsiTheme="majorHAnsi"/>
          <w:sz w:val="21"/>
          <w:szCs w:val="21"/>
        </w:rPr>
        <w:t>2-credit</w:t>
      </w:r>
      <w:r w:rsidR="00C7537E" w:rsidRPr="004D7ACF">
        <w:rPr>
          <w:rFonts w:asciiTheme="majorHAnsi" w:hAnsiTheme="majorHAnsi"/>
          <w:sz w:val="21"/>
          <w:szCs w:val="21"/>
        </w:rPr>
        <w:t>,</w:t>
      </w:r>
      <w:r w:rsidR="006C6B23" w:rsidRPr="004D7ACF">
        <w:rPr>
          <w:rFonts w:asciiTheme="majorHAnsi" w:hAnsiTheme="majorHAnsi"/>
          <w:sz w:val="21"/>
          <w:szCs w:val="21"/>
        </w:rPr>
        <w:t xml:space="preserve"> </w:t>
      </w:r>
      <w:r w:rsidR="004641A4" w:rsidRPr="004D7ACF">
        <w:rPr>
          <w:rFonts w:asciiTheme="majorHAnsi" w:hAnsiTheme="majorHAnsi"/>
          <w:sz w:val="21"/>
          <w:szCs w:val="21"/>
        </w:rPr>
        <w:t>pass-fail advanced-</w:t>
      </w:r>
      <w:r w:rsidR="00E3066F" w:rsidRPr="004D7ACF">
        <w:rPr>
          <w:rFonts w:asciiTheme="majorHAnsi" w:hAnsiTheme="majorHAnsi"/>
          <w:sz w:val="21"/>
          <w:szCs w:val="21"/>
        </w:rPr>
        <w:t>writing course</w:t>
      </w:r>
      <w:r w:rsidR="00990512" w:rsidRPr="004D7ACF">
        <w:rPr>
          <w:rFonts w:asciiTheme="majorHAnsi" w:hAnsiTheme="majorHAnsi"/>
          <w:sz w:val="21"/>
          <w:szCs w:val="21"/>
        </w:rPr>
        <w:t xml:space="preserve"> during the fa</w:t>
      </w:r>
      <w:r w:rsidR="00F664A3" w:rsidRPr="004D7ACF">
        <w:rPr>
          <w:rFonts w:asciiTheme="majorHAnsi" w:hAnsiTheme="majorHAnsi"/>
          <w:sz w:val="21"/>
          <w:szCs w:val="21"/>
        </w:rPr>
        <w:t>ll semester</w:t>
      </w:r>
      <w:r w:rsidR="00990512" w:rsidRPr="004D7ACF">
        <w:rPr>
          <w:rFonts w:asciiTheme="majorHAnsi" w:hAnsiTheme="majorHAnsi"/>
          <w:sz w:val="21"/>
          <w:szCs w:val="21"/>
        </w:rPr>
        <w:t>.</w:t>
      </w:r>
      <w:r w:rsidR="00F523F7" w:rsidRPr="004D7ACF">
        <w:rPr>
          <w:rFonts w:asciiTheme="majorHAnsi" w:hAnsiTheme="majorHAnsi"/>
          <w:sz w:val="21"/>
          <w:szCs w:val="21"/>
        </w:rPr>
        <w:t xml:space="preserve"> </w:t>
      </w:r>
      <w:r w:rsidR="00C7537E" w:rsidRPr="004D7ACF">
        <w:rPr>
          <w:rFonts w:asciiTheme="majorHAnsi" w:hAnsiTheme="majorHAnsi"/>
          <w:sz w:val="21"/>
          <w:szCs w:val="21"/>
        </w:rPr>
        <w:t>You</w:t>
      </w:r>
      <w:r w:rsidR="008A5845" w:rsidRPr="004D7ACF">
        <w:rPr>
          <w:rFonts w:asciiTheme="majorHAnsi" w:hAnsiTheme="majorHAnsi"/>
          <w:sz w:val="21"/>
          <w:szCs w:val="21"/>
        </w:rPr>
        <w:t>’ll</w:t>
      </w:r>
      <w:r w:rsidR="00990512" w:rsidRPr="004D7ACF">
        <w:rPr>
          <w:rFonts w:asciiTheme="majorHAnsi" w:hAnsiTheme="majorHAnsi"/>
          <w:sz w:val="21"/>
          <w:szCs w:val="21"/>
        </w:rPr>
        <w:t xml:space="preserve"> receive training </w:t>
      </w:r>
      <w:r w:rsidR="00A23AAD" w:rsidRPr="004D7ACF">
        <w:rPr>
          <w:rFonts w:asciiTheme="majorHAnsi" w:hAnsiTheme="majorHAnsi"/>
          <w:sz w:val="21"/>
          <w:szCs w:val="21"/>
        </w:rPr>
        <w:t>in</w:t>
      </w:r>
      <w:r w:rsidR="00E76DE4" w:rsidRPr="004D7ACF">
        <w:rPr>
          <w:rFonts w:asciiTheme="majorHAnsi" w:hAnsiTheme="majorHAnsi"/>
          <w:sz w:val="21"/>
          <w:szCs w:val="21"/>
        </w:rPr>
        <w:t xml:space="preserve"> </w:t>
      </w:r>
      <w:r w:rsidR="00990512" w:rsidRPr="004D7ACF">
        <w:rPr>
          <w:rFonts w:asciiTheme="majorHAnsi" w:hAnsiTheme="majorHAnsi"/>
          <w:sz w:val="21"/>
          <w:szCs w:val="21"/>
        </w:rPr>
        <w:t>evaluat</w:t>
      </w:r>
      <w:r w:rsidR="00485AAE" w:rsidRPr="004D7ACF">
        <w:rPr>
          <w:rFonts w:asciiTheme="majorHAnsi" w:hAnsiTheme="majorHAnsi"/>
          <w:sz w:val="21"/>
          <w:szCs w:val="21"/>
        </w:rPr>
        <w:t>ing</w:t>
      </w:r>
      <w:r w:rsidR="00990512" w:rsidRPr="004D7ACF">
        <w:rPr>
          <w:rFonts w:asciiTheme="majorHAnsi" w:hAnsiTheme="majorHAnsi"/>
          <w:sz w:val="21"/>
          <w:szCs w:val="21"/>
        </w:rPr>
        <w:t xml:space="preserve"> and comment</w:t>
      </w:r>
      <w:r w:rsidR="00485AAE" w:rsidRPr="004D7ACF">
        <w:rPr>
          <w:rFonts w:asciiTheme="majorHAnsi" w:hAnsiTheme="majorHAnsi"/>
          <w:sz w:val="21"/>
          <w:szCs w:val="21"/>
        </w:rPr>
        <w:t>ing</w:t>
      </w:r>
      <w:r w:rsidR="00990512" w:rsidRPr="004D7ACF">
        <w:rPr>
          <w:rFonts w:asciiTheme="majorHAnsi" w:hAnsiTheme="majorHAnsi"/>
          <w:sz w:val="21"/>
          <w:szCs w:val="21"/>
        </w:rPr>
        <w:t xml:space="preserve"> on student work. </w:t>
      </w:r>
      <w:r w:rsidR="00E76DE4" w:rsidRPr="004D7ACF">
        <w:rPr>
          <w:rFonts w:asciiTheme="majorHAnsi" w:hAnsiTheme="majorHAnsi"/>
          <w:sz w:val="21"/>
          <w:szCs w:val="21"/>
        </w:rPr>
        <w:t>You’ll also meet weekly with your writing lecturer.</w:t>
      </w:r>
      <w:r w:rsidR="00EB016D">
        <w:rPr>
          <w:rFonts w:asciiTheme="majorHAnsi" w:hAnsiTheme="majorHAnsi"/>
          <w:sz w:val="21"/>
          <w:szCs w:val="21"/>
        </w:rPr>
        <w:t xml:space="preserve"> </w:t>
      </w:r>
      <w:r w:rsidR="00F4761D">
        <w:rPr>
          <w:rFonts w:asciiTheme="majorHAnsi" w:hAnsiTheme="majorHAnsi"/>
          <w:sz w:val="21"/>
          <w:szCs w:val="21"/>
        </w:rPr>
        <w:t xml:space="preserve">As part of the course, </w:t>
      </w:r>
      <w:r w:rsidR="005F0A68">
        <w:rPr>
          <w:rFonts w:asciiTheme="majorHAnsi" w:hAnsiTheme="majorHAnsi"/>
          <w:sz w:val="21"/>
          <w:szCs w:val="21"/>
        </w:rPr>
        <w:t>TQs will also complete the assignments their students will perform in the fall</w:t>
      </w:r>
      <w:r w:rsidR="00404EDE">
        <w:rPr>
          <w:rFonts w:asciiTheme="majorHAnsi" w:hAnsiTheme="majorHAnsi"/>
          <w:sz w:val="21"/>
          <w:szCs w:val="21"/>
        </w:rPr>
        <w:t xml:space="preserve">, which </w:t>
      </w:r>
      <w:r w:rsidR="00843B6B">
        <w:rPr>
          <w:rFonts w:asciiTheme="majorHAnsi" w:hAnsiTheme="majorHAnsi"/>
          <w:sz w:val="21"/>
          <w:szCs w:val="21"/>
        </w:rPr>
        <w:t>will</w:t>
      </w:r>
      <w:r w:rsidR="00404EDE">
        <w:rPr>
          <w:rFonts w:asciiTheme="majorHAnsi" w:hAnsiTheme="majorHAnsi"/>
          <w:sz w:val="21"/>
          <w:szCs w:val="21"/>
        </w:rPr>
        <w:t xml:space="preserve"> require TQs to work on assignments over the summer</w:t>
      </w:r>
      <w:r w:rsidR="005F0A68">
        <w:rPr>
          <w:rFonts w:asciiTheme="majorHAnsi" w:hAnsiTheme="majorHAnsi"/>
          <w:sz w:val="21"/>
          <w:szCs w:val="21"/>
        </w:rPr>
        <w:t>.</w:t>
      </w:r>
    </w:p>
    <w:p w14:paraId="1A4FACDB" w14:textId="77777777" w:rsidR="00990512" w:rsidRPr="004D7ACF" w:rsidRDefault="00990512">
      <w:pPr>
        <w:rPr>
          <w:rFonts w:asciiTheme="majorHAnsi" w:hAnsiTheme="majorHAnsi"/>
          <w:sz w:val="21"/>
          <w:szCs w:val="21"/>
        </w:rPr>
      </w:pPr>
    </w:p>
    <w:p w14:paraId="7DA6FAE3" w14:textId="77777777" w:rsidR="00C63ED4" w:rsidRPr="004D7ACF" w:rsidRDefault="00C63ED4" w:rsidP="00C63ED4">
      <w:pPr>
        <w:rPr>
          <w:rFonts w:ascii="Cambria" w:hAnsi="Cambria"/>
          <w:b/>
          <w:sz w:val="21"/>
          <w:szCs w:val="21"/>
        </w:rPr>
      </w:pPr>
      <w:r w:rsidRPr="004D7ACF">
        <w:rPr>
          <w:rFonts w:ascii="Cambria" w:hAnsi="Cambria"/>
          <w:b/>
          <w:sz w:val="21"/>
          <w:szCs w:val="21"/>
        </w:rPr>
        <w:t>How many jobs are available?</w:t>
      </w:r>
    </w:p>
    <w:p w14:paraId="09F3D28D" w14:textId="01BBACD0" w:rsidR="00C63ED4" w:rsidRPr="004D7ACF" w:rsidRDefault="005F0A68" w:rsidP="00C63ED4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We will hire </w:t>
      </w:r>
      <w:r w:rsidR="00DC5A1A" w:rsidRPr="004D7ACF">
        <w:rPr>
          <w:rFonts w:ascii="Cambria" w:hAnsi="Cambria"/>
          <w:sz w:val="21"/>
          <w:szCs w:val="21"/>
        </w:rPr>
        <w:t xml:space="preserve">24 TQs and </w:t>
      </w:r>
      <w:r w:rsidR="00C63ED4" w:rsidRPr="004D7ACF">
        <w:rPr>
          <w:rFonts w:ascii="Cambria" w:hAnsi="Cambria"/>
          <w:sz w:val="21"/>
          <w:szCs w:val="21"/>
        </w:rPr>
        <w:t xml:space="preserve">4 LLM TQs. </w:t>
      </w:r>
      <w:r w:rsidR="008D0FD5">
        <w:rPr>
          <w:rFonts w:ascii="Cambria" w:hAnsi="Cambria"/>
          <w:sz w:val="21"/>
          <w:szCs w:val="21"/>
        </w:rPr>
        <w:t>From th</w:t>
      </w:r>
      <w:r w:rsidR="002863F7">
        <w:rPr>
          <w:rFonts w:ascii="Cambria" w:hAnsi="Cambria"/>
          <w:sz w:val="21"/>
          <w:szCs w:val="21"/>
        </w:rPr>
        <w:t>at group</w:t>
      </w:r>
      <w:r w:rsidR="008D0FD5">
        <w:rPr>
          <w:rFonts w:ascii="Cambria" w:hAnsi="Cambria"/>
          <w:sz w:val="21"/>
          <w:szCs w:val="21"/>
        </w:rPr>
        <w:t xml:space="preserve">, </w:t>
      </w:r>
      <w:r w:rsidR="00C1030D">
        <w:rPr>
          <w:rFonts w:ascii="Cambria" w:hAnsi="Cambria"/>
          <w:sz w:val="21"/>
          <w:szCs w:val="21"/>
        </w:rPr>
        <w:t xml:space="preserve">up to 8 TQs </w:t>
      </w:r>
      <w:r w:rsidR="002863F7">
        <w:rPr>
          <w:rFonts w:ascii="Cambria" w:hAnsi="Cambria"/>
          <w:sz w:val="21"/>
          <w:szCs w:val="21"/>
        </w:rPr>
        <w:t>may</w:t>
      </w:r>
      <w:r w:rsidR="00C1030D">
        <w:rPr>
          <w:rFonts w:ascii="Cambria" w:hAnsi="Cambria"/>
          <w:sz w:val="21"/>
          <w:szCs w:val="21"/>
        </w:rPr>
        <w:t xml:space="preserve"> be named Lead TQs, </w:t>
      </w:r>
      <w:r w:rsidR="00C1365A">
        <w:rPr>
          <w:rFonts w:ascii="Cambria" w:hAnsi="Cambria"/>
          <w:sz w:val="21"/>
          <w:szCs w:val="21"/>
        </w:rPr>
        <w:t xml:space="preserve">1 LLM TQ may be named Lead LLM TQ, and </w:t>
      </w:r>
      <w:r w:rsidR="00A23AAD">
        <w:rPr>
          <w:rFonts w:ascii="Cambria" w:hAnsi="Cambria"/>
          <w:sz w:val="21"/>
          <w:szCs w:val="21"/>
        </w:rPr>
        <w:t xml:space="preserve">one </w:t>
      </w:r>
      <w:r w:rsidR="00C1365A">
        <w:rPr>
          <w:rFonts w:ascii="Cambria" w:hAnsi="Cambria"/>
          <w:sz w:val="21"/>
          <w:szCs w:val="21"/>
        </w:rPr>
        <w:t xml:space="preserve">TQ may be </w:t>
      </w:r>
      <w:r>
        <w:rPr>
          <w:rFonts w:ascii="Cambria" w:hAnsi="Cambria"/>
          <w:sz w:val="21"/>
          <w:szCs w:val="21"/>
        </w:rPr>
        <w:t xml:space="preserve">named </w:t>
      </w:r>
      <w:r w:rsidR="00C1365A">
        <w:rPr>
          <w:rFonts w:ascii="Cambria" w:hAnsi="Cambria"/>
          <w:sz w:val="21"/>
          <w:szCs w:val="21"/>
        </w:rPr>
        <w:t xml:space="preserve">as </w:t>
      </w:r>
      <w:r w:rsidR="00F64269">
        <w:rPr>
          <w:rFonts w:ascii="Cambria" w:hAnsi="Cambria"/>
          <w:sz w:val="21"/>
          <w:szCs w:val="21"/>
        </w:rPr>
        <w:t xml:space="preserve">a </w:t>
      </w:r>
      <w:r w:rsidR="00C1365A">
        <w:rPr>
          <w:rFonts w:ascii="Cambria" w:hAnsi="Cambria"/>
          <w:sz w:val="21"/>
          <w:szCs w:val="21"/>
        </w:rPr>
        <w:t>Senior TQ.</w:t>
      </w:r>
      <w:r w:rsidR="00EB016D">
        <w:rPr>
          <w:rFonts w:ascii="Cambria" w:hAnsi="Cambria"/>
          <w:sz w:val="21"/>
          <w:szCs w:val="21"/>
        </w:rPr>
        <w:t xml:space="preserve"> </w:t>
      </w:r>
      <w:r w:rsidR="008D0FD5">
        <w:rPr>
          <w:rFonts w:ascii="Cambria" w:hAnsi="Cambria"/>
          <w:sz w:val="21"/>
          <w:szCs w:val="21"/>
        </w:rPr>
        <w:t>Second-year students currently serving as TQs may be re-hired during their third year.</w:t>
      </w:r>
      <w:r w:rsidR="00EB016D">
        <w:rPr>
          <w:rFonts w:ascii="Cambria" w:hAnsi="Cambria"/>
          <w:sz w:val="21"/>
          <w:szCs w:val="21"/>
        </w:rPr>
        <w:t xml:space="preserve"> </w:t>
      </w:r>
      <w:r w:rsidR="00C63ED4" w:rsidRPr="004D7ACF">
        <w:rPr>
          <w:rFonts w:ascii="Cambria" w:hAnsi="Cambria"/>
          <w:sz w:val="21"/>
          <w:szCs w:val="21"/>
        </w:rPr>
        <w:t xml:space="preserve">The candidacy process will be competitive. </w:t>
      </w:r>
    </w:p>
    <w:p w14:paraId="69E116E7" w14:textId="77777777" w:rsidR="00C63ED4" w:rsidRPr="004D7ACF" w:rsidRDefault="00C63ED4" w:rsidP="00C63ED4">
      <w:pPr>
        <w:rPr>
          <w:rFonts w:ascii="Cambria" w:hAnsi="Cambria"/>
          <w:sz w:val="21"/>
          <w:szCs w:val="21"/>
        </w:rPr>
      </w:pPr>
    </w:p>
    <w:p w14:paraId="6692DE35" w14:textId="4727ADAE" w:rsidR="00D031B7" w:rsidRDefault="00EA7F08" w:rsidP="0089581D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br w:type="column"/>
      </w:r>
      <w:r w:rsidR="008E5896">
        <w:rPr>
          <w:rFonts w:asciiTheme="majorHAnsi" w:hAnsiTheme="majorHAnsi"/>
          <w:b/>
          <w:sz w:val="21"/>
          <w:szCs w:val="21"/>
        </w:rPr>
        <w:t>W</w:t>
      </w:r>
      <w:r w:rsidR="00E76DE4" w:rsidRPr="004D7ACF">
        <w:rPr>
          <w:rFonts w:asciiTheme="majorHAnsi" w:hAnsiTheme="majorHAnsi"/>
          <w:b/>
          <w:sz w:val="21"/>
          <w:szCs w:val="21"/>
        </w:rPr>
        <w:t>o</w:t>
      </w:r>
      <w:r w:rsidR="00C7537E" w:rsidRPr="004D7ACF">
        <w:rPr>
          <w:rFonts w:asciiTheme="majorHAnsi" w:hAnsiTheme="majorHAnsi"/>
          <w:b/>
          <w:sz w:val="21"/>
          <w:szCs w:val="21"/>
        </w:rPr>
        <w:t>rkload</w:t>
      </w:r>
      <w:r w:rsidR="00485AAE" w:rsidRPr="004D7ACF">
        <w:rPr>
          <w:rFonts w:asciiTheme="majorHAnsi" w:hAnsiTheme="majorHAnsi"/>
          <w:b/>
          <w:sz w:val="21"/>
          <w:szCs w:val="21"/>
        </w:rPr>
        <w:t xml:space="preserve"> </w:t>
      </w:r>
      <w:r w:rsidR="00E76DE4" w:rsidRPr="004D7ACF">
        <w:rPr>
          <w:rFonts w:asciiTheme="majorHAnsi" w:hAnsiTheme="majorHAnsi"/>
          <w:b/>
          <w:sz w:val="21"/>
          <w:szCs w:val="21"/>
        </w:rPr>
        <w:t>and pay</w:t>
      </w:r>
      <w:r w:rsidR="005F0A68">
        <w:rPr>
          <w:rFonts w:asciiTheme="majorHAnsi" w:hAnsiTheme="majorHAnsi"/>
          <w:b/>
          <w:sz w:val="21"/>
          <w:szCs w:val="21"/>
        </w:rPr>
        <w:t xml:space="preserve"> </w:t>
      </w:r>
    </w:p>
    <w:p w14:paraId="4E555AF0" w14:textId="10B95CA2" w:rsidR="009300B4" w:rsidRDefault="00A90241" w:rsidP="0089581D">
      <w:pPr>
        <w:rPr>
          <w:rFonts w:asciiTheme="majorHAnsi" w:hAnsiTheme="majorHAnsi"/>
          <w:bCs/>
          <w:sz w:val="21"/>
          <w:szCs w:val="21"/>
        </w:rPr>
      </w:pPr>
      <w:r>
        <w:rPr>
          <w:rFonts w:asciiTheme="majorHAnsi" w:hAnsiTheme="majorHAnsi"/>
          <w:bCs/>
          <w:sz w:val="21"/>
          <w:szCs w:val="21"/>
        </w:rPr>
        <w:t>The workload of TQs varies over the semester</w:t>
      </w:r>
      <w:r w:rsidR="00A23AAD">
        <w:rPr>
          <w:rFonts w:asciiTheme="majorHAnsi" w:hAnsiTheme="majorHAnsi"/>
          <w:bCs/>
          <w:sz w:val="21"/>
          <w:szCs w:val="21"/>
        </w:rPr>
        <w:t xml:space="preserve">, with some weeks </w:t>
      </w:r>
      <w:r w:rsidR="00B13DE7">
        <w:rPr>
          <w:rFonts w:asciiTheme="majorHAnsi" w:hAnsiTheme="majorHAnsi"/>
          <w:bCs/>
          <w:sz w:val="21"/>
          <w:szCs w:val="21"/>
        </w:rPr>
        <w:t xml:space="preserve">necessitating </w:t>
      </w:r>
      <w:r w:rsidR="00A23AAD">
        <w:rPr>
          <w:rFonts w:asciiTheme="majorHAnsi" w:hAnsiTheme="majorHAnsi"/>
          <w:bCs/>
          <w:sz w:val="21"/>
          <w:szCs w:val="21"/>
        </w:rPr>
        <w:t xml:space="preserve">considerably </w:t>
      </w:r>
      <w:r w:rsidR="00B13DE7">
        <w:rPr>
          <w:rFonts w:asciiTheme="majorHAnsi" w:hAnsiTheme="majorHAnsi"/>
          <w:bCs/>
          <w:sz w:val="21"/>
          <w:szCs w:val="21"/>
        </w:rPr>
        <w:t>more work than others</w:t>
      </w:r>
      <w:r w:rsidR="00A23AAD">
        <w:rPr>
          <w:rFonts w:asciiTheme="majorHAnsi" w:hAnsiTheme="majorHAnsi"/>
          <w:bCs/>
          <w:sz w:val="21"/>
          <w:szCs w:val="21"/>
        </w:rPr>
        <w:t xml:space="preserve">. </w:t>
      </w:r>
      <w:r w:rsidR="009300B4">
        <w:rPr>
          <w:rFonts w:asciiTheme="majorHAnsi" w:hAnsiTheme="majorHAnsi"/>
          <w:bCs/>
          <w:sz w:val="21"/>
          <w:szCs w:val="21"/>
        </w:rPr>
        <w:t>The workload also varies by position.</w:t>
      </w:r>
      <w:r w:rsidR="00244044">
        <w:rPr>
          <w:rFonts w:asciiTheme="majorHAnsi" w:hAnsiTheme="majorHAnsi"/>
          <w:bCs/>
          <w:sz w:val="21"/>
          <w:szCs w:val="21"/>
        </w:rPr>
        <w:t xml:space="preserve"> While we have estimated the number of hours by position, you may work fewer or more hours than estimated.</w:t>
      </w:r>
    </w:p>
    <w:p w14:paraId="683F32F1" w14:textId="77777777" w:rsidR="009300B4" w:rsidRDefault="009300B4">
      <w:pPr>
        <w:rPr>
          <w:rFonts w:asciiTheme="majorHAnsi" w:hAnsiTheme="majorHAnsi"/>
          <w:bCs/>
          <w:sz w:val="21"/>
          <w:szCs w:val="21"/>
        </w:rPr>
      </w:pPr>
    </w:p>
    <w:p w14:paraId="6DD326C5" w14:textId="30D6864D" w:rsidR="00C10C95" w:rsidRDefault="00A90241" w:rsidP="00C10C95">
      <w:pPr>
        <w:rPr>
          <w:rFonts w:asciiTheme="majorHAnsi" w:hAnsiTheme="majorHAnsi"/>
          <w:sz w:val="21"/>
          <w:szCs w:val="21"/>
        </w:rPr>
      </w:pPr>
      <w:r w:rsidRPr="00554792">
        <w:rPr>
          <w:rFonts w:asciiTheme="majorHAnsi" w:hAnsiTheme="majorHAnsi"/>
          <w:bCs/>
          <w:sz w:val="21"/>
          <w:szCs w:val="21"/>
        </w:rPr>
        <w:t>TQs are paid on an hourly basis</w:t>
      </w:r>
      <w:r w:rsidR="00A23AAD" w:rsidRPr="00554792">
        <w:rPr>
          <w:rFonts w:asciiTheme="majorHAnsi" w:hAnsiTheme="majorHAnsi"/>
          <w:bCs/>
          <w:sz w:val="21"/>
          <w:szCs w:val="21"/>
        </w:rPr>
        <w:t xml:space="preserve"> at the rate of $</w:t>
      </w:r>
      <w:r w:rsidR="00554792" w:rsidRPr="00554792">
        <w:rPr>
          <w:rFonts w:asciiTheme="majorHAnsi" w:hAnsiTheme="majorHAnsi"/>
          <w:bCs/>
          <w:sz w:val="21"/>
          <w:szCs w:val="21"/>
        </w:rPr>
        <w:t>2</w:t>
      </w:r>
      <w:r w:rsidR="00C10C95">
        <w:rPr>
          <w:rFonts w:asciiTheme="majorHAnsi" w:hAnsiTheme="majorHAnsi"/>
          <w:bCs/>
          <w:sz w:val="21"/>
          <w:szCs w:val="21"/>
        </w:rPr>
        <w:t>5</w:t>
      </w:r>
      <w:r w:rsidR="00155A83" w:rsidRPr="00554792">
        <w:rPr>
          <w:rFonts w:asciiTheme="majorHAnsi" w:hAnsiTheme="majorHAnsi"/>
          <w:bCs/>
          <w:sz w:val="21"/>
          <w:szCs w:val="21"/>
        </w:rPr>
        <w:t xml:space="preserve"> </w:t>
      </w:r>
      <w:r w:rsidR="00A23AAD" w:rsidRPr="00554792">
        <w:rPr>
          <w:rFonts w:asciiTheme="majorHAnsi" w:hAnsiTheme="majorHAnsi"/>
          <w:bCs/>
          <w:sz w:val="21"/>
          <w:szCs w:val="21"/>
        </w:rPr>
        <w:t>per hour</w:t>
      </w:r>
      <w:r w:rsidR="00C10C95">
        <w:rPr>
          <w:rFonts w:asciiTheme="majorHAnsi" w:hAnsiTheme="majorHAnsi"/>
          <w:bCs/>
          <w:sz w:val="21"/>
          <w:szCs w:val="21"/>
        </w:rPr>
        <w:t>.</w:t>
      </w:r>
      <w:r w:rsidR="00C10C95">
        <w:rPr>
          <w:rFonts w:asciiTheme="majorHAnsi" w:hAnsiTheme="majorHAnsi"/>
          <w:sz w:val="21"/>
          <w:szCs w:val="21"/>
        </w:rPr>
        <w:t xml:space="preserve"> TQs’ work may begin before the fall semester starts and may extend over the semester break.</w:t>
      </w:r>
      <w:r w:rsidR="00C10C95" w:rsidRPr="004D7ACF">
        <w:rPr>
          <w:rFonts w:asciiTheme="majorHAnsi" w:hAnsiTheme="majorHAnsi"/>
          <w:sz w:val="21"/>
          <w:szCs w:val="21"/>
        </w:rPr>
        <w:t xml:space="preserve"> </w:t>
      </w:r>
    </w:p>
    <w:p w14:paraId="1FBB621E" w14:textId="58835245" w:rsidR="00A90241" w:rsidRPr="00A90241" w:rsidRDefault="00A90241">
      <w:pPr>
        <w:rPr>
          <w:rFonts w:asciiTheme="majorHAnsi" w:hAnsiTheme="majorHAnsi"/>
          <w:bCs/>
          <w:sz w:val="21"/>
          <w:szCs w:val="21"/>
        </w:rPr>
      </w:pPr>
    </w:p>
    <w:p w14:paraId="52A19C18" w14:textId="2927D340" w:rsidR="005F0A68" w:rsidRPr="004D7ACF" w:rsidRDefault="009300B4" w:rsidP="009300B4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 xml:space="preserve">Positions in the </w:t>
      </w:r>
      <w:r w:rsidR="00404EDE">
        <w:rPr>
          <w:rFonts w:asciiTheme="majorHAnsi" w:hAnsiTheme="majorHAnsi"/>
          <w:b/>
          <w:sz w:val="21"/>
          <w:szCs w:val="21"/>
        </w:rPr>
        <w:t>JD Program</w:t>
      </w:r>
    </w:p>
    <w:p w14:paraId="712CDCF7" w14:textId="77777777" w:rsidR="00D031B7" w:rsidRPr="004D7ACF" w:rsidRDefault="00D031B7" w:rsidP="00D031B7">
      <w:pPr>
        <w:rPr>
          <w:rFonts w:asciiTheme="majorHAnsi" w:hAnsiTheme="majorHAnsi"/>
          <w:b/>
          <w:sz w:val="21"/>
          <w:szCs w:val="21"/>
        </w:rPr>
      </w:pPr>
      <w:r w:rsidRPr="004D7ACF">
        <w:rPr>
          <w:rFonts w:asciiTheme="majorHAnsi" w:hAnsiTheme="majorHAnsi"/>
          <w:b/>
          <w:sz w:val="21"/>
          <w:szCs w:val="21"/>
        </w:rPr>
        <w:t xml:space="preserve">TQs </w:t>
      </w:r>
    </w:p>
    <w:p w14:paraId="39F3EA9B" w14:textId="063FE829" w:rsidR="00155A83" w:rsidRDefault="009300B4" w:rsidP="00155A83">
      <w:pPr>
        <w:rPr>
          <w:rFonts w:asciiTheme="majorHAnsi" w:hAnsiTheme="majorHAnsi"/>
          <w:bCs/>
          <w:sz w:val="21"/>
          <w:szCs w:val="21"/>
        </w:rPr>
      </w:pPr>
      <w:r>
        <w:rPr>
          <w:rFonts w:asciiTheme="majorHAnsi" w:hAnsiTheme="majorHAnsi"/>
          <w:bCs/>
          <w:sz w:val="21"/>
          <w:szCs w:val="21"/>
        </w:rPr>
        <w:t>TQs work both semesters. For fall, TQs should expect to work an average of 120 hours over the semester</w:t>
      </w:r>
      <w:r w:rsidR="00155A83">
        <w:rPr>
          <w:rFonts w:asciiTheme="majorHAnsi" w:hAnsiTheme="majorHAnsi"/>
          <w:bCs/>
          <w:sz w:val="21"/>
          <w:szCs w:val="21"/>
        </w:rPr>
        <w:t>.</w:t>
      </w:r>
      <w:r>
        <w:rPr>
          <w:rFonts w:asciiTheme="majorHAnsi" w:hAnsiTheme="majorHAnsi"/>
          <w:bCs/>
          <w:sz w:val="21"/>
          <w:szCs w:val="21"/>
        </w:rPr>
        <w:t xml:space="preserve"> For spring, TQs should expect to work an average of </w:t>
      </w:r>
      <w:r w:rsidR="00F64269">
        <w:rPr>
          <w:rFonts w:asciiTheme="majorHAnsi" w:hAnsiTheme="majorHAnsi"/>
          <w:bCs/>
          <w:sz w:val="21"/>
          <w:szCs w:val="21"/>
        </w:rPr>
        <w:t>6</w:t>
      </w:r>
      <w:r>
        <w:rPr>
          <w:rFonts w:asciiTheme="majorHAnsi" w:hAnsiTheme="majorHAnsi"/>
          <w:bCs/>
          <w:sz w:val="21"/>
          <w:szCs w:val="21"/>
        </w:rPr>
        <w:t xml:space="preserve">0 </w:t>
      </w:r>
      <w:r w:rsidR="00244044">
        <w:rPr>
          <w:rFonts w:asciiTheme="majorHAnsi" w:hAnsiTheme="majorHAnsi"/>
          <w:bCs/>
          <w:sz w:val="21"/>
          <w:szCs w:val="21"/>
        </w:rPr>
        <w:t xml:space="preserve">hours </w:t>
      </w:r>
      <w:r>
        <w:rPr>
          <w:rFonts w:asciiTheme="majorHAnsi" w:hAnsiTheme="majorHAnsi"/>
          <w:bCs/>
          <w:sz w:val="21"/>
          <w:szCs w:val="21"/>
        </w:rPr>
        <w:t xml:space="preserve">over the semester. </w:t>
      </w:r>
    </w:p>
    <w:p w14:paraId="04EE928B" w14:textId="77777777" w:rsidR="00D031B7" w:rsidRDefault="00D031B7" w:rsidP="00D031B7">
      <w:pPr>
        <w:rPr>
          <w:rFonts w:asciiTheme="majorHAnsi" w:hAnsiTheme="majorHAnsi"/>
          <w:sz w:val="21"/>
          <w:szCs w:val="21"/>
        </w:rPr>
      </w:pPr>
    </w:p>
    <w:p w14:paraId="4F789AE3" w14:textId="77777777" w:rsidR="00D031B7" w:rsidRPr="004D7ACF" w:rsidRDefault="00D031B7" w:rsidP="00D031B7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Lead T</w:t>
      </w:r>
      <w:r w:rsidRPr="004D7ACF">
        <w:rPr>
          <w:rFonts w:asciiTheme="majorHAnsi" w:hAnsiTheme="majorHAnsi"/>
          <w:b/>
          <w:sz w:val="21"/>
          <w:szCs w:val="21"/>
        </w:rPr>
        <w:t xml:space="preserve">Qs </w:t>
      </w:r>
    </w:p>
    <w:p w14:paraId="60DADFBD" w14:textId="0D5F2E18" w:rsidR="00D031B7" w:rsidRDefault="00D031B7" w:rsidP="00D031B7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Lead TQs work both semesters.</w:t>
      </w:r>
      <w:r w:rsidR="00EB016D">
        <w:rPr>
          <w:rFonts w:asciiTheme="majorHAnsi" w:hAnsiTheme="majorHAnsi"/>
          <w:sz w:val="21"/>
          <w:szCs w:val="21"/>
        </w:rPr>
        <w:t xml:space="preserve"> </w:t>
      </w:r>
      <w:r w:rsidRPr="004D7ACF">
        <w:rPr>
          <w:rFonts w:asciiTheme="majorHAnsi" w:hAnsiTheme="majorHAnsi"/>
          <w:sz w:val="21"/>
          <w:szCs w:val="21"/>
        </w:rPr>
        <w:t xml:space="preserve">For fall, </w:t>
      </w:r>
      <w:r>
        <w:rPr>
          <w:rFonts w:asciiTheme="majorHAnsi" w:hAnsiTheme="majorHAnsi"/>
          <w:sz w:val="21"/>
          <w:szCs w:val="21"/>
        </w:rPr>
        <w:t>Lead TQs s</w:t>
      </w:r>
      <w:r w:rsidRPr="004D7ACF">
        <w:rPr>
          <w:rFonts w:asciiTheme="majorHAnsi" w:hAnsiTheme="majorHAnsi"/>
          <w:sz w:val="21"/>
          <w:szCs w:val="21"/>
        </w:rPr>
        <w:t xml:space="preserve">hould expect to work </w:t>
      </w:r>
      <w:r w:rsidR="00183E65">
        <w:rPr>
          <w:rFonts w:asciiTheme="majorHAnsi" w:hAnsiTheme="majorHAnsi"/>
          <w:sz w:val="21"/>
          <w:szCs w:val="21"/>
        </w:rPr>
        <w:t>an average of</w:t>
      </w:r>
      <w:r w:rsidR="00B13DE7">
        <w:rPr>
          <w:rFonts w:asciiTheme="majorHAnsi" w:hAnsiTheme="majorHAnsi"/>
          <w:sz w:val="21"/>
          <w:szCs w:val="21"/>
        </w:rPr>
        <w:t xml:space="preserve"> </w:t>
      </w:r>
      <w:r w:rsidR="00244044">
        <w:rPr>
          <w:rFonts w:asciiTheme="majorHAnsi" w:hAnsiTheme="majorHAnsi"/>
          <w:sz w:val="21"/>
          <w:szCs w:val="21"/>
        </w:rPr>
        <w:t xml:space="preserve">150 hours per semester. For spring, Lead TQs should expect to work an average of </w:t>
      </w:r>
      <w:r w:rsidR="00B13DE7">
        <w:rPr>
          <w:rFonts w:asciiTheme="majorHAnsi" w:hAnsiTheme="majorHAnsi"/>
          <w:sz w:val="21"/>
          <w:szCs w:val="21"/>
        </w:rPr>
        <w:t>7</w:t>
      </w:r>
      <w:r w:rsidR="00244044">
        <w:rPr>
          <w:rFonts w:asciiTheme="majorHAnsi" w:hAnsiTheme="majorHAnsi"/>
          <w:sz w:val="21"/>
          <w:szCs w:val="21"/>
        </w:rPr>
        <w:t xml:space="preserve">0 hours over the semester. </w:t>
      </w:r>
    </w:p>
    <w:p w14:paraId="1A46E598" w14:textId="06E13455" w:rsidR="00D031B7" w:rsidRDefault="00D031B7" w:rsidP="00D031B7">
      <w:pPr>
        <w:rPr>
          <w:rFonts w:asciiTheme="majorHAnsi" w:hAnsiTheme="majorHAnsi"/>
          <w:sz w:val="21"/>
          <w:szCs w:val="21"/>
        </w:rPr>
      </w:pPr>
    </w:p>
    <w:p w14:paraId="16F1CD9F" w14:textId="7ED2A2AC" w:rsidR="00404EDE" w:rsidRPr="004D7ACF" w:rsidRDefault="00404EDE" w:rsidP="00404EDE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Senior T</w:t>
      </w:r>
      <w:r w:rsidRPr="004D7ACF">
        <w:rPr>
          <w:rFonts w:asciiTheme="majorHAnsi" w:hAnsiTheme="majorHAnsi"/>
          <w:b/>
          <w:sz w:val="21"/>
          <w:szCs w:val="21"/>
        </w:rPr>
        <w:t>Q</w:t>
      </w:r>
    </w:p>
    <w:p w14:paraId="5569FEBD" w14:textId="7681D4F1" w:rsidR="00404EDE" w:rsidRDefault="00244044" w:rsidP="00404EDE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The </w:t>
      </w:r>
      <w:r w:rsidR="00404EDE">
        <w:rPr>
          <w:rFonts w:asciiTheme="majorHAnsi" w:hAnsiTheme="majorHAnsi"/>
          <w:sz w:val="21"/>
          <w:szCs w:val="21"/>
        </w:rPr>
        <w:t>Senior TQ</w:t>
      </w:r>
      <w:r>
        <w:rPr>
          <w:rFonts w:asciiTheme="majorHAnsi" w:hAnsiTheme="majorHAnsi"/>
          <w:sz w:val="21"/>
          <w:szCs w:val="21"/>
        </w:rPr>
        <w:t xml:space="preserve"> will</w:t>
      </w:r>
      <w:r w:rsidR="00404EDE">
        <w:rPr>
          <w:rFonts w:asciiTheme="majorHAnsi" w:hAnsiTheme="majorHAnsi"/>
          <w:sz w:val="21"/>
          <w:szCs w:val="21"/>
        </w:rPr>
        <w:t xml:space="preserve"> work both semesters. </w:t>
      </w:r>
      <w:r w:rsidR="00404EDE" w:rsidRPr="004D7ACF">
        <w:rPr>
          <w:rFonts w:asciiTheme="majorHAnsi" w:hAnsiTheme="majorHAnsi"/>
          <w:sz w:val="21"/>
          <w:szCs w:val="21"/>
        </w:rPr>
        <w:t>For</w:t>
      </w:r>
      <w:r w:rsidR="00404EDE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fall, the Senior TQ should expect to work </w:t>
      </w:r>
      <w:r w:rsidR="00F4761D">
        <w:rPr>
          <w:rFonts w:asciiTheme="majorHAnsi" w:hAnsiTheme="majorHAnsi"/>
          <w:sz w:val="21"/>
          <w:szCs w:val="21"/>
        </w:rPr>
        <w:t xml:space="preserve">about </w:t>
      </w:r>
      <w:r>
        <w:rPr>
          <w:rFonts w:asciiTheme="majorHAnsi" w:hAnsiTheme="majorHAnsi"/>
          <w:sz w:val="21"/>
          <w:szCs w:val="21"/>
        </w:rPr>
        <w:t xml:space="preserve">200 hours over the semester. For spring, the Senior TQ should expect to work </w:t>
      </w:r>
      <w:r w:rsidR="00F4761D">
        <w:rPr>
          <w:rFonts w:asciiTheme="majorHAnsi" w:hAnsiTheme="majorHAnsi"/>
          <w:sz w:val="21"/>
          <w:szCs w:val="21"/>
        </w:rPr>
        <w:t xml:space="preserve">about </w:t>
      </w:r>
      <w:r w:rsidR="00F64269">
        <w:rPr>
          <w:rFonts w:asciiTheme="majorHAnsi" w:hAnsiTheme="majorHAnsi"/>
          <w:sz w:val="21"/>
          <w:szCs w:val="21"/>
        </w:rPr>
        <w:t>1</w:t>
      </w:r>
      <w:r w:rsidR="00F4761D">
        <w:rPr>
          <w:rFonts w:asciiTheme="majorHAnsi" w:hAnsiTheme="majorHAnsi"/>
          <w:sz w:val="21"/>
          <w:szCs w:val="21"/>
        </w:rPr>
        <w:t>0</w:t>
      </w:r>
      <w:r>
        <w:rPr>
          <w:rFonts w:asciiTheme="majorHAnsi" w:hAnsiTheme="majorHAnsi"/>
          <w:sz w:val="21"/>
          <w:szCs w:val="21"/>
        </w:rPr>
        <w:t xml:space="preserve">0 </w:t>
      </w:r>
      <w:r w:rsidR="00F64269">
        <w:rPr>
          <w:rFonts w:asciiTheme="majorHAnsi" w:hAnsiTheme="majorHAnsi"/>
          <w:sz w:val="21"/>
          <w:szCs w:val="21"/>
        </w:rPr>
        <w:t xml:space="preserve">hours. </w:t>
      </w:r>
    </w:p>
    <w:p w14:paraId="08A15003" w14:textId="2F87403C" w:rsidR="00404EDE" w:rsidRDefault="00404EDE" w:rsidP="00D031B7">
      <w:pPr>
        <w:rPr>
          <w:rFonts w:asciiTheme="majorHAnsi" w:hAnsiTheme="majorHAnsi"/>
          <w:sz w:val="21"/>
          <w:szCs w:val="21"/>
        </w:rPr>
      </w:pPr>
    </w:p>
    <w:p w14:paraId="72B7F9A9" w14:textId="4B7190CD" w:rsidR="00404EDE" w:rsidRPr="00404EDE" w:rsidRDefault="00244044" w:rsidP="00244044">
      <w:pPr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Positions in the </w:t>
      </w:r>
      <w:r w:rsidR="00404EDE" w:rsidRPr="00404EDE">
        <w:rPr>
          <w:rFonts w:asciiTheme="majorHAnsi" w:hAnsiTheme="majorHAnsi"/>
          <w:b/>
          <w:bCs/>
          <w:sz w:val="21"/>
          <w:szCs w:val="21"/>
        </w:rPr>
        <w:t>LLM Program</w:t>
      </w:r>
    </w:p>
    <w:p w14:paraId="4531C9CA" w14:textId="5C1E92C2" w:rsidR="00C7537E" w:rsidRPr="004D7ACF" w:rsidRDefault="00485AAE">
      <w:pPr>
        <w:rPr>
          <w:rFonts w:asciiTheme="majorHAnsi" w:hAnsiTheme="majorHAnsi"/>
          <w:b/>
          <w:sz w:val="21"/>
          <w:szCs w:val="21"/>
        </w:rPr>
      </w:pPr>
      <w:r w:rsidRPr="004D7ACF">
        <w:rPr>
          <w:rFonts w:asciiTheme="majorHAnsi" w:hAnsiTheme="majorHAnsi"/>
          <w:b/>
          <w:sz w:val="21"/>
          <w:szCs w:val="21"/>
        </w:rPr>
        <w:t>LLM T</w:t>
      </w:r>
      <w:r w:rsidR="004641A4" w:rsidRPr="004D7ACF">
        <w:rPr>
          <w:rFonts w:asciiTheme="majorHAnsi" w:hAnsiTheme="majorHAnsi"/>
          <w:b/>
          <w:sz w:val="21"/>
          <w:szCs w:val="21"/>
        </w:rPr>
        <w:t>Q</w:t>
      </w:r>
      <w:r w:rsidRPr="004D7ACF">
        <w:rPr>
          <w:rFonts w:asciiTheme="majorHAnsi" w:hAnsiTheme="majorHAnsi"/>
          <w:b/>
          <w:sz w:val="21"/>
          <w:szCs w:val="21"/>
        </w:rPr>
        <w:t>s</w:t>
      </w:r>
    </w:p>
    <w:p w14:paraId="3C04A864" w14:textId="1C3C7D63" w:rsidR="003C169A" w:rsidRDefault="0006529B" w:rsidP="006654BE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LLM TQs work only in the fall.</w:t>
      </w:r>
      <w:r w:rsidR="00EB016D">
        <w:rPr>
          <w:rFonts w:asciiTheme="majorHAnsi" w:hAnsiTheme="majorHAnsi"/>
          <w:sz w:val="21"/>
          <w:szCs w:val="21"/>
        </w:rPr>
        <w:t xml:space="preserve"> </w:t>
      </w:r>
      <w:r w:rsidR="002863F7">
        <w:rPr>
          <w:rFonts w:asciiTheme="majorHAnsi" w:hAnsiTheme="majorHAnsi"/>
          <w:sz w:val="21"/>
          <w:szCs w:val="21"/>
        </w:rPr>
        <w:t xml:space="preserve">LLM TQs </w:t>
      </w:r>
      <w:r w:rsidR="00485AAE" w:rsidRPr="004D7ACF">
        <w:rPr>
          <w:rFonts w:asciiTheme="majorHAnsi" w:hAnsiTheme="majorHAnsi"/>
          <w:sz w:val="21"/>
          <w:szCs w:val="21"/>
        </w:rPr>
        <w:t xml:space="preserve">should expect to work </w:t>
      </w:r>
      <w:r w:rsidR="00183E65">
        <w:rPr>
          <w:rFonts w:asciiTheme="majorHAnsi" w:hAnsiTheme="majorHAnsi"/>
          <w:sz w:val="21"/>
          <w:szCs w:val="21"/>
        </w:rPr>
        <w:t xml:space="preserve">an average of </w:t>
      </w:r>
      <w:r w:rsidR="00485AAE" w:rsidRPr="004D7ACF">
        <w:rPr>
          <w:rFonts w:asciiTheme="majorHAnsi" w:hAnsiTheme="majorHAnsi"/>
          <w:sz w:val="21"/>
          <w:szCs w:val="21"/>
        </w:rPr>
        <w:t>1</w:t>
      </w:r>
      <w:r w:rsidR="00084257">
        <w:rPr>
          <w:rFonts w:asciiTheme="majorHAnsi" w:hAnsiTheme="majorHAnsi"/>
          <w:sz w:val="21"/>
          <w:szCs w:val="21"/>
        </w:rPr>
        <w:t>2</w:t>
      </w:r>
      <w:r w:rsidR="00244044">
        <w:rPr>
          <w:rFonts w:asciiTheme="majorHAnsi" w:hAnsiTheme="majorHAnsi"/>
          <w:sz w:val="21"/>
          <w:szCs w:val="21"/>
        </w:rPr>
        <w:t>0 hours over the semester.</w:t>
      </w:r>
      <w:r w:rsidR="00485AAE" w:rsidRPr="004D7ACF">
        <w:rPr>
          <w:rFonts w:asciiTheme="majorHAnsi" w:hAnsiTheme="majorHAnsi"/>
          <w:sz w:val="21"/>
          <w:szCs w:val="21"/>
        </w:rPr>
        <w:t xml:space="preserve"> </w:t>
      </w:r>
    </w:p>
    <w:p w14:paraId="7E562145" w14:textId="77777777" w:rsidR="003C169A" w:rsidRDefault="003C169A" w:rsidP="006654BE">
      <w:pPr>
        <w:rPr>
          <w:rFonts w:asciiTheme="majorHAnsi" w:hAnsiTheme="majorHAnsi"/>
          <w:sz w:val="21"/>
          <w:szCs w:val="21"/>
        </w:rPr>
      </w:pPr>
    </w:p>
    <w:p w14:paraId="164AC625" w14:textId="1812A093" w:rsidR="0006529B" w:rsidRPr="004D7ACF" w:rsidRDefault="0006529B" w:rsidP="0006529B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 xml:space="preserve">Lead </w:t>
      </w:r>
      <w:r w:rsidRPr="004D7ACF">
        <w:rPr>
          <w:rFonts w:asciiTheme="majorHAnsi" w:hAnsiTheme="majorHAnsi"/>
          <w:b/>
          <w:sz w:val="21"/>
          <w:szCs w:val="21"/>
        </w:rPr>
        <w:t>LLM TQ</w:t>
      </w:r>
    </w:p>
    <w:p w14:paraId="4DA0420C" w14:textId="03058A3A" w:rsidR="0006529B" w:rsidRDefault="0006529B" w:rsidP="0006529B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The Lead LLM TQ works only in the fall.</w:t>
      </w:r>
      <w:r w:rsidR="00EB016D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The Lead LLM TQ </w:t>
      </w:r>
      <w:r w:rsidRPr="004D7ACF">
        <w:rPr>
          <w:rFonts w:asciiTheme="majorHAnsi" w:hAnsiTheme="majorHAnsi"/>
          <w:sz w:val="21"/>
          <w:szCs w:val="21"/>
        </w:rPr>
        <w:t xml:space="preserve">should expect to work </w:t>
      </w:r>
      <w:r w:rsidR="00DE1E4A">
        <w:rPr>
          <w:rFonts w:asciiTheme="majorHAnsi" w:hAnsiTheme="majorHAnsi"/>
          <w:sz w:val="21"/>
          <w:szCs w:val="21"/>
        </w:rPr>
        <w:t xml:space="preserve">an average of </w:t>
      </w:r>
      <w:r w:rsidRPr="004D7ACF">
        <w:rPr>
          <w:rFonts w:asciiTheme="majorHAnsi" w:hAnsiTheme="majorHAnsi"/>
          <w:sz w:val="21"/>
          <w:szCs w:val="21"/>
        </w:rPr>
        <w:t>1</w:t>
      </w:r>
      <w:r w:rsidR="00244044">
        <w:rPr>
          <w:rFonts w:asciiTheme="majorHAnsi" w:hAnsiTheme="majorHAnsi"/>
          <w:sz w:val="21"/>
          <w:szCs w:val="21"/>
        </w:rPr>
        <w:t xml:space="preserve">50 hours per semester. </w:t>
      </w:r>
    </w:p>
    <w:p w14:paraId="6DF3F829" w14:textId="77777777" w:rsidR="0006529B" w:rsidRDefault="0006529B" w:rsidP="0006529B">
      <w:pPr>
        <w:rPr>
          <w:rFonts w:asciiTheme="majorHAnsi" w:hAnsiTheme="majorHAnsi"/>
          <w:b/>
          <w:sz w:val="21"/>
          <w:szCs w:val="21"/>
        </w:rPr>
      </w:pPr>
    </w:p>
    <w:p w14:paraId="7D295C68" w14:textId="77777777" w:rsidR="00EA7F08" w:rsidRDefault="00EA7F08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br w:type="page"/>
      </w:r>
    </w:p>
    <w:p w14:paraId="2B4B98FF" w14:textId="583ED2C9" w:rsidR="007E5707" w:rsidRPr="004D7ACF" w:rsidRDefault="00CE0A28">
      <w:pPr>
        <w:rPr>
          <w:rFonts w:asciiTheme="majorHAnsi" w:hAnsiTheme="majorHAnsi"/>
          <w:b/>
          <w:sz w:val="21"/>
          <w:szCs w:val="21"/>
        </w:rPr>
      </w:pPr>
      <w:r w:rsidRPr="004D7ACF">
        <w:rPr>
          <w:rFonts w:asciiTheme="majorHAnsi" w:hAnsiTheme="majorHAnsi"/>
          <w:b/>
          <w:sz w:val="21"/>
          <w:szCs w:val="21"/>
        </w:rPr>
        <w:lastRenderedPageBreak/>
        <w:t xml:space="preserve">How are TQs </w:t>
      </w:r>
      <w:r w:rsidR="00C7537E" w:rsidRPr="004D7ACF">
        <w:rPr>
          <w:rFonts w:asciiTheme="majorHAnsi" w:hAnsiTheme="majorHAnsi"/>
          <w:b/>
          <w:sz w:val="21"/>
          <w:szCs w:val="21"/>
        </w:rPr>
        <w:t>and LLM T</w:t>
      </w:r>
      <w:r w:rsidR="00421EC7" w:rsidRPr="004D7ACF">
        <w:rPr>
          <w:rFonts w:asciiTheme="majorHAnsi" w:hAnsiTheme="majorHAnsi"/>
          <w:b/>
          <w:sz w:val="21"/>
          <w:szCs w:val="21"/>
        </w:rPr>
        <w:t>Q</w:t>
      </w:r>
      <w:r w:rsidR="00C7537E" w:rsidRPr="004D7ACF">
        <w:rPr>
          <w:rFonts w:asciiTheme="majorHAnsi" w:hAnsiTheme="majorHAnsi"/>
          <w:b/>
          <w:sz w:val="21"/>
          <w:szCs w:val="21"/>
        </w:rPr>
        <w:t xml:space="preserve">s </w:t>
      </w:r>
      <w:r w:rsidRPr="004D7ACF">
        <w:rPr>
          <w:rFonts w:asciiTheme="majorHAnsi" w:hAnsiTheme="majorHAnsi"/>
          <w:b/>
          <w:sz w:val="21"/>
          <w:szCs w:val="21"/>
        </w:rPr>
        <w:t>selected</w:t>
      </w:r>
      <w:r w:rsidR="00330798" w:rsidRPr="004D7ACF">
        <w:rPr>
          <w:rFonts w:asciiTheme="majorHAnsi" w:hAnsiTheme="majorHAnsi"/>
          <w:b/>
          <w:sz w:val="21"/>
          <w:szCs w:val="21"/>
        </w:rPr>
        <w:t xml:space="preserve"> and assigned to writing lecturers</w:t>
      </w:r>
      <w:r w:rsidRPr="004D7ACF">
        <w:rPr>
          <w:rFonts w:asciiTheme="majorHAnsi" w:hAnsiTheme="majorHAnsi"/>
          <w:b/>
          <w:sz w:val="21"/>
          <w:szCs w:val="21"/>
        </w:rPr>
        <w:t>?</w:t>
      </w:r>
    </w:p>
    <w:p w14:paraId="0E3926E9" w14:textId="3AD48C75" w:rsidR="00545894" w:rsidRPr="004D7ACF" w:rsidRDefault="00330798">
      <w:pPr>
        <w:rPr>
          <w:rFonts w:asciiTheme="majorHAnsi" w:hAnsiTheme="majorHAnsi"/>
          <w:sz w:val="21"/>
          <w:szCs w:val="21"/>
        </w:rPr>
      </w:pPr>
      <w:r w:rsidRPr="004D7ACF">
        <w:rPr>
          <w:rFonts w:asciiTheme="majorHAnsi" w:hAnsiTheme="majorHAnsi"/>
          <w:sz w:val="21"/>
          <w:szCs w:val="21"/>
        </w:rPr>
        <w:t xml:space="preserve">To be considered, </w:t>
      </w:r>
      <w:r w:rsidR="00545894" w:rsidRPr="004D7ACF">
        <w:rPr>
          <w:rFonts w:asciiTheme="majorHAnsi" w:hAnsiTheme="majorHAnsi"/>
          <w:sz w:val="21"/>
          <w:szCs w:val="21"/>
        </w:rPr>
        <w:t>complete an application and submit it by the deadline</w:t>
      </w:r>
      <w:r w:rsidR="00BF33F3">
        <w:rPr>
          <w:rFonts w:asciiTheme="majorHAnsi" w:hAnsiTheme="majorHAnsi"/>
          <w:sz w:val="21"/>
          <w:szCs w:val="21"/>
        </w:rPr>
        <w:t>.</w:t>
      </w:r>
      <w:r w:rsidR="00F523F7" w:rsidRPr="004D7ACF">
        <w:rPr>
          <w:rFonts w:asciiTheme="majorHAnsi" w:hAnsiTheme="majorHAnsi"/>
          <w:sz w:val="21"/>
          <w:szCs w:val="21"/>
        </w:rPr>
        <w:t xml:space="preserve"> </w:t>
      </w:r>
      <w:r w:rsidR="00B0332D">
        <w:rPr>
          <w:rFonts w:asciiTheme="majorHAnsi" w:hAnsiTheme="majorHAnsi"/>
          <w:sz w:val="21"/>
          <w:szCs w:val="21"/>
        </w:rPr>
        <w:t xml:space="preserve">Complete a short grammar and citation assessment at one of the offered times.  </w:t>
      </w:r>
      <w:r w:rsidR="00535A08" w:rsidRPr="004D7ACF">
        <w:rPr>
          <w:rFonts w:asciiTheme="majorHAnsi" w:hAnsiTheme="majorHAnsi"/>
          <w:sz w:val="21"/>
          <w:szCs w:val="21"/>
        </w:rPr>
        <w:t>A</w:t>
      </w:r>
      <w:r w:rsidR="00545894" w:rsidRPr="004D7ACF">
        <w:rPr>
          <w:rFonts w:asciiTheme="majorHAnsi" w:hAnsiTheme="majorHAnsi"/>
          <w:sz w:val="21"/>
          <w:szCs w:val="21"/>
        </w:rPr>
        <w:t xml:space="preserve">pplicants </w:t>
      </w:r>
      <w:r w:rsidR="00535A08" w:rsidRPr="004D7ACF">
        <w:rPr>
          <w:rFonts w:asciiTheme="majorHAnsi" w:hAnsiTheme="majorHAnsi"/>
          <w:sz w:val="21"/>
          <w:szCs w:val="21"/>
        </w:rPr>
        <w:t>may have</w:t>
      </w:r>
      <w:r w:rsidR="00545894" w:rsidRPr="004D7ACF">
        <w:rPr>
          <w:rFonts w:asciiTheme="majorHAnsi" w:hAnsiTheme="majorHAnsi"/>
          <w:sz w:val="21"/>
          <w:szCs w:val="21"/>
        </w:rPr>
        <w:t xml:space="preserve"> an interview with a </w:t>
      </w:r>
      <w:r w:rsidR="00E76DE4" w:rsidRPr="004D7ACF">
        <w:rPr>
          <w:rFonts w:asciiTheme="majorHAnsi" w:hAnsiTheme="majorHAnsi"/>
          <w:sz w:val="21"/>
          <w:szCs w:val="21"/>
        </w:rPr>
        <w:t>w</w:t>
      </w:r>
      <w:r w:rsidR="00545894" w:rsidRPr="004D7ACF">
        <w:rPr>
          <w:rFonts w:asciiTheme="majorHAnsi" w:hAnsiTheme="majorHAnsi"/>
          <w:sz w:val="21"/>
          <w:szCs w:val="21"/>
        </w:rPr>
        <w:t xml:space="preserve">riting </w:t>
      </w:r>
      <w:r w:rsidR="00E76DE4" w:rsidRPr="004D7ACF">
        <w:rPr>
          <w:rFonts w:asciiTheme="majorHAnsi" w:hAnsiTheme="majorHAnsi"/>
          <w:sz w:val="21"/>
          <w:szCs w:val="21"/>
        </w:rPr>
        <w:t>lecturer</w:t>
      </w:r>
      <w:r w:rsidR="00545894" w:rsidRPr="004D7ACF">
        <w:rPr>
          <w:rFonts w:asciiTheme="majorHAnsi" w:hAnsiTheme="majorHAnsi"/>
          <w:sz w:val="21"/>
          <w:szCs w:val="21"/>
        </w:rPr>
        <w:t>.</w:t>
      </w:r>
      <w:r w:rsidR="00F523F7" w:rsidRPr="004D7ACF">
        <w:rPr>
          <w:rFonts w:asciiTheme="majorHAnsi" w:hAnsiTheme="majorHAnsi"/>
          <w:sz w:val="21"/>
          <w:szCs w:val="21"/>
        </w:rPr>
        <w:t xml:space="preserve"> </w:t>
      </w:r>
      <w:r w:rsidR="00545894" w:rsidRPr="004D7ACF">
        <w:rPr>
          <w:rFonts w:asciiTheme="majorHAnsi" w:hAnsiTheme="majorHAnsi"/>
          <w:sz w:val="21"/>
          <w:szCs w:val="21"/>
        </w:rPr>
        <w:t xml:space="preserve">The writing </w:t>
      </w:r>
      <w:r w:rsidR="00E76DE4" w:rsidRPr="004D7ACF">
        <w:rPr>
          <w:rFonts w:asciiTheme="majorHAnsi" w:hAnsiTheme="majorHAnsi"/>
          <w:sz w:val="21"/>
          <w:szCs w:val="21"/>
        </w:rPr>
        <w:t>lecturers</w:t>
      </w:r>
      <w:r w:rsidR="00545894" w:rsidRPr="004D7ACF">
        <w:rPr>
          <w:rFonts w:asciiTheme="majorHAnsi" w:hAnsiTheme="majorHAnsi"/>
          <w:sz w:val="21"/>
          <w:szCs w:val="21"/>
        </w:rPr>
        <w:t xml:space="preserve"> then meet to select </w:t>
      </w:r>
      <w:r w:rsidR="00BF33F3">
        <w:rPr>
          <w:rFonts w:asciiTheme="majorHAnsi" w:hAnsiTheme="majorHAnsi"/>
          <w:sz w:val="21"/>
          <w:szCs w:val="21"/>
        </w:rPr>
        <w:t>TQs</w:t>
      </w:r>
      <w:r w:rsidR="00545894" w:rsidRPr="004D7ACF">
        <w:rPr>
          <w:rFonts w:asciiTheme="majorHAnsi" w:hAnsiTheme="majorHAnsi"/>
          <w:sz w:val="21"/>
          <w:szCs w:val="21"/>
        </w:rPr>
        <w:t xml:space="preserve">. </w:t>
      </w:r>
      <w:r w:rsidR="00C7537E" w:rsidRPr="004D7ACF">
        <w:rPr>
          <w:rFonts w:asciiTheme="majorHAnsi" w:hAnsiTheme="majorHAnsi"/>
          <w:sz w:val="21"/>
          <w:szCs w:val="21"/>
        </w:rPr>
        <w:t>If selected</w:t>
      </w:r>
      <w:r w:rsidR="008A5845" w:rsidRPr="004D7ACF">
        <w:rPr>
          <w:rFonts w:asciiTheme="majorHAnsi" w:hAnsiTheme="majorHAnsi"/>
          <w:sz w:val="21"/>
          <w:szCs w:val="21"/>
        </w:rPr>
        <w:t xml:space="preserve"> as a TQ</w:t>
      </w:r>
      <w:r w:rsidR="00C7537E" w:rsidRPr="004D7ACF">
        <w:rPr>
          <w:rFonts w:asciiTheme="majorHAnsi" w:hAnsiTheme="majorHAnsi"/>
          <w:sz w:val="21"/>
          <w:szCs w:val="21"/>
        </w:rPr>
        <w:t>, you</w:t>
      </w:r>
      <w:r w:rsidRPr="004D7ACF">
        <w:rPr>
          <w:rFonts w:asciiTheme="majorHAnsi" w:hAnsiTheme="majorHAnsi"/>
          <w:sz w:val="21"/>
          <w:szCs w:val="21"/>
        </w:rPr>
        <w:t xml:space="preserve"> </w:t>
      </w:r>
      <w:r w:rsidR="00492367" w:rsidRPr="004D7ACF">
        <w:rPr>
          <w:rFonts w:asciiTheme="majorHAnsi" w:hAnsiTheme="majorHAnsi"/>
          <w:sz w:val="21"/>
          <w:szCs w:val="21"/>
        </w:rPr>
        <w:t>may be</w:t>
      </w:r>
      <w:r w:rsidRPr="004D7ACF">
        <w:rPr>
          <w:rFonts w:asciiTheme="majorHAnsi" w:hAnsiTheme="majorHAnsi"/>
          <w:sz w:val="21"/>
          <w:szCs w:val="21"/>
        </w:rPr>
        <w:t xml:space="preserve"> assigned to work </w:t>
      </w:r>
      <w:r w:rsidR="00492367" w:rsidRPr="004D7ACF">
        <w:rPr>
          <w:rFonts w:asciiTheme="majorHAnsi" w:hAnsiTheme="majorHAnsi"/>
          <w:sz w:val="21"/>
          <w:szCs w:val="21"/>
        </w:rPr>
        <w:t xml:space="preserve">with </w:t>
      </w:r>
      <w:r w:rsidR="00244044">
        <w:rPr>
          <w:rFonts w:asciiTheme="majorHAnsi" w:hAnsiTheme="majorHAnsi"/>
          <w:sz w:val="21"/>
          <w:szCs w:val="21"/>
        </w:rPr>
        <w:t>any</w:t>
      </w:r>
      <w:r w:rsidR="00492367" w:rsidRPr="004D7ACF">
        <w:rPr>
          <w:rFonts w:asciiTheme="majorHAnsi" w:hAnsiTheme="majorHAnsi"/>
          <w:sz w:val="21"/>
          <w:szCs w:val="21"/>
        </w:rPr>
        <w:t xml:space="preserve"> writing lecturer</w:t>
      </w:r>
      <w:r w:rsidRPr="004D7ACF">
        <w:rPr>
          <w:rFonts w:asciiTheme="majorHAnsi" w:hAnsiTheme="majorHAnsi"/>
          <w:sz w:val="21"/>
          <w:szCs w:val="21"/>
        </w:rPr>
        <w:t>.</w:t>
      </w:r>
      <w:r w:rsidR="00DC5A1A" w:rsidRPr="004D7ACF">
        <w:rPr>
          <w:rFonts w:asciiTheme="majorHAnsi" w:hAnsiTheme="majorHAnsi"/>
          <w:sz w:val="21"/>
          <w:szCs w:val="21"/>
        </w:rPr>
        <w:t xml:space="preserve"> If selected as an LLM TQ, you </w:t>
      </w:r>
      <w:r w:rsidR="00DC5A1A" w:rsidRPr="004D7ACF">
        <w:rPr>
          <w:rFonts w:asciiTheme="majorHAnsi" w:hAnsiTheme="majorHAnsi"/>
          <w:sz w:val="21"/>
          <w:szCs w:val="21"/>
        </w:rPr>
        <w:t xml:space="preserve">will work with </w:t>
      </w:r>
      <w:r w:rsidR="00843B6B">
        <w:rPr>
          <w:rFonts w:asciiTheme="majorHAnsi" w:hAnsiTheme="majorHAnsi"/>
          <w:sz w:val="21"/>
          <w:szCs w:val="21"/>
        </w:rPr>
        <w:t>an</w:t>
      </w:r>
      <w:r w:rsidR="007C1391" w:rsidRPr="004D7ACF">
        <w:rPr>
          <w:rFonts w:asciiTheme="majorHAnsi" w:hAnsiTheme="majorHAnsi"/>
          <w:sz w:val="21"/>
          <w:szCs w:val="21"/>
        </w:rPr>
        <w:t xml:space="preserve"> </w:t>
      </w:r>
      <w:r w:rsidR="007624C9" w:rsidRPr="004D7ACF">
        <w:rPr>
          <w:rFonts w:asciiTheme="majorHAnsi" w:hAnsiTheme="majorHAnsi"/>
          <w:sz w:val="21"/>
          <w:szCs w:val="21"/>
        </w:rPr>
        <w:t>instructor</w:t>
      </w:r>
      <w:r w:rsidR="007C1391" w:rsidRPr="004D7ACF">
        <w:rPr>
          <w:rFonts w:asciiTheme="majorHAnsi" w:hAnsiTheme="majorHAnsi"/>
          <w:sz w:val="21"/>
          <w:szCs w:val="21"/>
        </w:rPr>
        <w:t xml:space="preserve"> </w:t>
      </w:r>
      <w:r w:rsidR="00BB6CBF">
        <w:rPr>
          <w:rFonts w:asciiTheme="majorHAnsi" w:hAnsiTheme="majorHAnsi"/>
          <w:sz w:val="21"/>
          <w:szCs w:val="21"/>
        </w:rPr>
        <w:t>teaching</w:t>
      </w:r>
      <w:r w:rsidR="007C1391" w:rsidRPr="004D7ACF">
        <w:rPr>
          <w:rFonts w:asciiTheme="majorHAnsi" w:hAnsiTheme="majorHAnsi"/>
          <w:sz w:val="21"/>
          <w:szCs w:val="21"/>
        </w:rPr>
        <w:t xml:space="preserve"> the LLM Writing </w:t>
      </w:r>
      <w:r w:rsidR="00DC5A1A" w:rsidRPr="004D7ACF">
        <w:rPr>
          <w:rFonts w:asciiTheme="majorHAnsi" w:hAnsiTheme="majorHAnsi"/>
          <w:sz w:val="21"/>
          <w:szCs w:val="21"/>
        </w:rPr>
        <w:t>course.</w:t>
      </w:r>
      <w:r w:rsidRPr="004D7ACF">
        <w:rPr>
          <w:rFonts w:asciiTheme="majorHAnsi" w:hAnsiTheme="majorHAnsi"/>
          <w:sz w:val="21"/>
          <w:szCs w:val="21"/>
        </w:rPr>
        <w:t xml:space="preserve"> The writing </w:t>
      </w:r>
      <w:r w:rsidR="00E76DE4" w:rsidRPr="004D7ACF">
        <w:rPr>
          <w:rFonts w:asciiTheme="majorHAnsi" w:hAnsiTheme="majorHAnsi"/>
          <w:sz w:val="21"/>
          <w:szCs w:val="21"/>
        </w:rPr>
        <w:t>lecturers</w:t>
      </w:r>
      <w:r w:rsidR="00492367" w:rsidRPr="004D7ACF">
        <w:rPr>
          <w:rFonts w:asciiTheme="majorHAnsi" w:hAnsiTheme="majorHAnsi"/>
          <w:sz w:val="21"/>
          <w:szCs w:val="21"/>
        </w:rPr>
        <w:t xml:space="preserve"> may choose alternates to fill unexpected vacancies.</w:t>
      </w:r>
    </w:p>
    <w:p w14:paraId="41967BEE" w14:textId="00EAC6B8" w:rsidR="00545894" w:rsidRDefault="00545894">
      <w:pPr>
        <w:rPr>
          <w:rFonts w:asciiTheme="majorHAnsi" w:hAnsiTheme="majorHAnsi"/>
          <w:sz w:val="21"/>
          <w:szCs w:val="21"/>
        </w:rPr>
      </w:pPr>
    </w:p>
    <w:p w14:paraId="451D37A5" w14:textId="77777777" w:rsidR="007E5707" w:rsidRPr="004D7ACF" w:rsidRDefault="00CE0A28">
      <w:pPr>
        <w:rPr>
          <w:rFonts w:asciiTheme="majorHAnsi" w:hAnsiTheme="majorHAnsi"/>
          <w:b/>
          <w:sz w:val="21"/>
          <w:szCs w:val="21"/>
        </w:rPr>
      </w:pPr>
      <w:r w:rsidRPr="004D7ACF">
        <w:rPr>
          <w:rFonts w:asciiTheme="majorHAnsi" w:hAnsiTheme="majorHAnsi"/>
          <w:b/>
          <w:sz w:val="21"/>
          <w:szCs w:val="21"/>
        </w:rPr>
        <w:t xml:space="preserve">Where do I </w:t>
      </w:r>
      <w:r w:rsidR="00990160" w:rsidRPr="004D7ACF">
        <w:rPr>
          <w:rFonts w:asciiTheme="majorHAnsi" w:hAnsiTheme="majorHAnsi"/>
          <w:b/>
          <w:sz w:val="21"/>
          <w:szCs w:val="21"/>
        </w:rPr>
        <w:t>get</w:t>
      </w:r>
      <w:r w:rsidRPr="004D7ACF">
        <w:rPr>
          <w:rFonts w:asciiTheme="majorHAnsi" w:hAnsiTheme="majorHAnsi"/>
          <w:b/>
          <w:sz w:val="21"/>
          <w:szCs w:val="21"/>
        </w:rPr>
        <w:t xml:space="preserve"> an application</w:t>
      </w:r>
      <w:r w:rsidR="00990160" w:rsidRPr="004D7ACF">
        <w:rPr>
          <w:rFonts w:asciiTheme="majorHAnsi" w:hAnsiTheme="majorHAnsi"/>
          <w:b/>
          <w:sz w:val="21"/>
          <w:szCs w:val="21"/>
        </w:rPr>
        <w:t>?</w:t>
      </w:r>
    </w:p>
    <w:p w14:paraId="0CEC9B26" w14:textId="4C73EF2C" w:rsidR="005A4625" w:rsidRPr="004D7ACF" w:rsidRDefault="00BF33F3">
      <w:pPr>
        <w:rPr>
          <w:rFonts w:asciiTheme="majorHAnsi" w:hAnsiTheme="majorHAnsi"/>
          <w:sz w:val="21"/>
          <w:szCs w:val="21"/>
        </w:rPr>
        <w:sectPr w:rsidR="005A4625" w:rsidRPr="004D7ACF" w:rsidSect="00EF1E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Theme="majorHAnsi" w:hAnsiTheme="majorHAnsi"/>
          <w:sz w:val="21"/>
          <w:szCs w:val="21"/>
        </w:rPr>
        <w:t>Applications are available at:</w:t>
      </w:r>
      <w:r w:rsidR="00EB016D">
        <w:rPr>
          <w:rFonts w:asciiTheme="majorHAnsi" w:hAnsiTheme="majorHAnsi"/>
          <w:sz w:val="21"/>
          <w:szCs w:val="21"/>
        </w:rPr>
        <w:t xml:space="preserve"> </w:t>
      </w:r>
      <w:hyperlink r:id="rId5" w:history="1">
        <w:r w:rsidR="00775AD3" w:rsidRPr="003B173F">
          <w:rPr>
            <w:rStyle w:val="Hyperlink"/>
            <w:rFonts w:asciiTheme="majorHAnsi" w:hAnsiTheme="majorHAnsi"/>
            <w:sz w:val="21"/>
            <w:szCs w:val="21"/>
          </w:rPr>
          <w:t>https://law.utexas.edu/legal-writing/</w:t>
        </w:r>
      </w:hyperlink>
      <w:r w:rsidR="00775AD3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>and on the Canvas sites of the Persuasive Writing and Advocacy classes.</w:t>
      </w:r>
    </w:p>
    <w:p w14:paraId="6C08AAFD" w14:textId="7AA0E5E4" w:rsidR="00C63ED4" w:rsidRDefault="00C63ED4">
      <w:pPr>
        <w:rPr>
          <w:rFonts w:ascii="Corbel" w:hAnsi="Corbel"/>
          <w:b/>
        </w:rPr>
      </w:pPr>
    </w:p>
    <w:p w14:paraId="09A05B0F" w14:textId="77777777" w:rsidR="006654BE" w:rsidRPr="004D7ACF" w:rsidRDefault="006654BE">
      <w:pPr>
        <w:rPr>
          <w:rFonts w:ascii="Corbel" w:hAnsi="Corbel"/>
          <w:b/>
        </w:rPr>
      </w:pPr>
    </w:p>
    <w:p w14:paraId="23948FDE" w14:textId="77777777" w:rsidR="007E5707" w:rsidRPr="004D7ACF" w:rsidRDefault="007624C9">
      <w:pPr>
        <w:rPr>
          <w:rFonts w:asciiTheme="minorHAnsi" w:hAnsiTheme="minorHAnsi"/>
          <w:b/>
          <w:sz w:val="28"/>
          <w:szCs w:val="28"/>
        </w:rPr>
      </w:pPr>
      <w:r w:rsidRPr="004D7ACF">
        <w:rPr>
          <w:rFonts w:asciiTheme="minorHAnsi" w:hAnsiTheme="minorHAnsi"/>
          <w:b/>
          <w:sz w:val="28"/>
          <w:szCs w:val="28"/>
        </w:rPr>
        <w:t>Timetable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6048"/>
      </w:tblGrid>
      <w:tr w:rsidR="009A3B72" w:rsidRPr="004D7ACF" w14:paraId="679CF781" w14:textId="77777777" w:rsidTr="00271B4D">
        <w:tc>
          <w:tcPr>
            <w:tcW w:w="2700" w:type="dxa"/>
          </w:tcPr>
          <w:p w14:paraId="155FF71E" w14:textId="0BE177F2" w:rsidR="009A3B72" w:rsidRPr="004D7ACF" w:rsidRDefault="009A3B72" w:rsidP="0030269A">
            <w:pPr>
              <w:spacing w:before="60" w:after="6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048" w:type="dxa"/>
          </w:tcPr>
          <w:p w14:paraId="1D97E79B" w14:textId="2E123755" w:rsidR="009A3B72" w:rsidRPr="004D7ACF" w:rsidRDefault="009A3B72" w:rsidP="00FC3128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</w:p>
        </w:tc>
      </w:tr>
      <w:tr w:rsidR="009A3B72" w:rsidRPr="004D7ACF" w14:paraId="477DF2A9" w14:textId="77777777" w:rsidTr="00271B4D">
        <w:tc>
          <w:tcPr>
            <w:tcW w:w="2700" w:type="dxa"/>
          </w:tcPr>
          <w:p w14:paraId="0BCFF3AC" w14:textId="2264E8A8" w:rsidR="009A3B72" w:rsidRPr="004D7ACF" w:rsidRDefault="00A033E4" w:rsidP="00C23AEB">
            <w:pPr>
              <w:spacing w:before="60"/>
              <w:rPr>
                <w:rFonts w:ascii="Cambria" w:hAnsi="Cambria"/>
                <w:b/>
                <w:sz w:val="22"/>
                <w:szCs w:val="22"/>
              </w:rPr>
            </w:pPr>
            <w:r w:rsidRPr="004D7ACF">
              <w:rPr>
                <w:rFonts w:ascii="Cambria" w:hAnsi="Cambria"/>
                <w:b/>
                <w:sz w:val="22"/>
                <w:szCs w:val="22"/>
              </w:rPr>
              <w:t xml:space="preserve">March </w:t>
            </w:r>
            <w:r w:rsidR="00B0332D"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7554FE">
              <w:rPr>
                <w:rFonts w:ascii="Cambria" w:hAnsi="Cambria"/>
                <w:b/>
                <w:sz w:val="22"/>
                <w:szCs w:val="22"/>
              </w:rPr>
              <w:t>1</w:t>
            </w:r>
            <w:r w:rsidRPr="004D7ACF">
              <w:rPr>
                <w:rFonts w:ascii="Cambria" w:hAnsi="Cambria"/>
                <w:b/>
                <w:sz w:val="22"/>
                <w:szCs w:val="22"/>
              </w:rPr>
              <w:t xml:space="preserve">, </w:t>
            </w:r>
            <w:r w:rsidR="00071348">
              <w:rPr>
                <w:rFonts w:ascii="Cambria" w:hAnsi="Cambria"/>
                <w:b/>
                <w:sz w:val="22"/>
                <w:szCs w:val="22"/>
              </w:rPr>
              <w:t>noon</w:t>
            </w:r>
          </w:p>
        </w:tc>
        <w:tc>
          <w:tcPr>
            <w:tcW w:w="6048" w:type="dxa"/>
          </w:tcPr>
          <w:p w14:paraId="43C3BEDD" w14:textId="78E86826" w:rsidR="009A3B72" w:rsidRPr="004D7ACF" w:rsidRDefault="009A3B72" w:rsidP="00D74A11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4D7ACF">
              <w:rPr>
                <w:rFonts w:ascii="Cambria" w:hAnsi="Cambria"/>
                <w:sz w:val="22"/>
                <w:szCs w:val="22"/>
              </w:rPr>
              <w:t>I</w:t>
            </w:r>
            <w:r w:rsidR="00D87ACB" w:rsidRPr="004D7ACF">
              <w:rPr>
                <w:rFonts w:ascii="Cambria" w:hAnsi="Cambria"/>
                <w:sz w:val="22"/>
                <w:szCs w:val="22"/>
              </w:rPr>
              <w:t xml:space="preserve">nformation meeting </w:t>
            </w:r>
            <w:proofErr w:type="gramStart"/>
            <w:r w:rsidR="00A2444D">
              <w:rPr>
                <w:rFonts w:ascii="Cambria" w:hAnsi="Cambria"/>
                <w:sz w:val="22"/>
                <w:szCs w:val="22"/>
              </w:rPr>
              <w:t>in</w:t>
            </w:r>
            <w:proofErr w:type="gramEnd"/>
            <w:r w:rsidR="00A2444D">
              <w:rPr>
                <w:rFonts w:ascii="Cambria" w:hAnsi="Cambria"/>
                <w:sz w:val="22"/>
                <w:szCs w:val="22"/>
              </w:rPr>
              <w:t xml:space="preserve"> 2.1</w:t>
            </w:r>
            <w:r w:rsidR="00BB6CBF">
              <w:rPr>
                <w:rFonts w:ascii="Cambria" w:hAnsi="Cambria"/>
                <w:sz w:val="22"/>
                <w:szCs w:val="22"/>
              </w:rPr>
              <w:t>2</w:t>
            </w:r>
            <w:r w:rsidR="007554FE">
              <w:rPr>
                <w:rFonts w:ascii="Cambria" w:hAnsi="Cambria"/>
                <w:sz w:val="22"/>
                <w:szCs w:val="22"/>
              </w:rPr>
              <w:t>3</w:t>
            </w:r>
            <w:r w:rsidR="0030269A" w:rsidRPr="004D7ACF">
              <w:rPr>
                <w:rFonts w:ascii="Cambria" w:hAnsi="Cambria"/>
                <w:sz w:val="22"/>
                <w:szCs w:val="22"/>
              </w:rPr>
              <w:t xml:space="preserve">. </w:t>
            </w:r>
            <w:r w:rsidRPr="004D7ACF">
              <w:rPr>
                <w:rFonts w:ascii="Cambria" w:hAnsi="Cambria"/>
                <w:sz w:val="22"/>
                <w:szCs w:val="22"/>
              </w:rPr>
              <w:t xml:space="preserve">The meeting is </w:t>
            </w:r>
            <w:r w:rsidR="00A033E4" w:rsidRPr="004D7ACF">
              <w:rPr>
                <w:rFonts w:ascii="Cambria" w:hAnsi="Cambria"/>
                <w:sz w:val="22"/>
                <w:szCs w:val="22"/>
              </w:rPr>
              <w:t xml:space="preserve">optional and </w:t>
            </w:r>
            <w:r w:rsidRPr="004D7ACF">
              <w:rPr>
                <w:rFonts w:ascii="Cambria" w:hAnsi="Cambria"/>
                <w:sz w:val="22"/>
                <w:szCs w:val="22"/>
              </w:rPr>
              <w:t>open to anyone interest</w:t>
            </w:r>
            <w:r w:rsidR="00610AD1" w:rsidRPr="004D7ACF">
              <w:rPr>
                <w:rFonts w:ascii="Cambria" w:hAnsi="Cambria"/>
                <w:sz w:val="22"/>
                <w:szCs w:val="22"/>
              </w:rPr>
              <w:t>ed</w:t>
            </w:r>
            <w:r w:rsidRPr="004D7ACF">
              <w:rPr>
                <w:rFonts w:ascii="Cambria" w:hAnsi="Cambria"/>
                <w:sz w:val="22"/>
                <w:szCs w:val="22"/>
              </w:rPr>
              <w:t xml:space="preserve"> in hearing more about the TQ </w:t>
            </w:r>
            <w:r w:rsidR="00C7537E" w:rsidRPr="004D7ACF">
              <w:rPr>
                <w:rFonts w:ascii="Cambria" w:hAnsi="Cambria"/>
                <w:sz w:val="22"/>
                <w:szCs w:val="22"/>
              </w:rPr>
              <w:t>or LLM T</w:t>
            </w:r>
            <w:r w:rsidR="00421EC7" w:rsidRPr="004D7ACF">
              <w:rPr>
                <w:rFonts w:ascii="Cambria" w:hAnsi="Cambria"/>
                <w:sz w:val="22"/>
                <w:szCs w:val="22"/>
              </w:rPr>
              <w:t>Q</w:t>
            </w:r>
            <w:r w:rsidR="00C7537E" w:rsidRPr="004D7ACF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D7ACF">
              <w:rPr>
                <w:rFonts w:ascii="Cambria" w:hAnsi="Cambria"/>
                <w:sz w:val="22"/>
                <w:szCs w:val="22"/>
              </w:rPr>
              <w:t>program or the application process</w:t>
            </w:r>
            <w:r w:rsidR="00610AD1" w:rsidRPr="004D7ACF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9A3B72" w:rsidRPr="004D7ACF" w14:paraId="25F04334" w14:textId="77777777" w:rsidTr="00271B4D">
        <w:tc>
          <w:tcPr>
            <w:tcW w:w="2700" w:type="dxa"/>
          </w:tcPr>
          <w:p w14:paraId="45D31715" w14:textId="238ECFF5" w:rsidR="009A3B72" w:rsidRPr="004D7ACF" w:rsidRDefault="00BB6CBF" w:rsidP="00C23AE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March 2</w:t>
            </w:r>
            <w:r w:rsidR="00071348">
              <w:rPr>
                <w:rFonts w:ascii="Cambria" w:hAnsi="Cambria"/>
                <w:b/>
                <w:sz w:val="22"/>
                <w:szCs w:val="22"/>
              </w:rPr>
              <w:t>5</w:t>
            </w:r>
            <w:r w:rsidR="00D761AA" w:rsidRPr="004D7ACF">
              <w:rPr>
                <w:rFonts w:ascii="Cambria" w:hAnsi="Cambria"/>
                <w:b/>
                <w:sz w:val="22"/>
                <w:szCs w:val="22"/>
              </w:rPr>
              <w:t xml:space="preserve">, </w:t>
            </w:r>
            <w:r w:rsidR="00071348">
              <w:rPr>
                <w:rFonts w:ascii="Cambria" w:hAnsi="Cambria"/>
                <w:b/>
                <w:sz w:val="22"/>
                <w:szCs w:val="22"/>
              </w:rPr>
              <w:t>noon</w:t>
            </w:r>
          </w:p>
        </w:tc>
        <w:tc>
          <w:tcPr>
            <w:tcW w:w="6048" w:type="dxa"/>
          </w:tcPr>
          <w:p w14:paraId="4E296ABA" w14:textId="5CB4190C" w:rsidR="009A3B72" w:rsidRPr="00E15A2F" w:rsidRDefault="00490CAF" w:rsidP="00535A08">
            <w:pPr>
              <w:spacing w:before="60" w:after="60"/>
              <w:rPr>
                <w:rFonts w:asciiTheme="majorHAnsi" w:hAnsiTheme="majorHAnsi"/>
                <w:bCs/>
                <w:sz w:val="22"/>
                <w:szCs w:val="22"/>
              </w:rPr>
            </w:pPr>
            <w:r w:rsidRPr="00E15A2F">
              <w:rPr>
                <w:rFonts w:asciiTheme="majorHAnsi" w:hAnsiTheme="majorHAnsi"/>
                <w:bCs/>
                <w:sz w:val="22"/>
                <w:szCs w:val="22"/>
              </w:rPr>
              <w:t>Deadline</w:t>
            </w:r>
            <w:r w:rsidR="00012816" w:rsidRPr="00E15A2F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350684" w:rsidRPr="00E15A2F">
              <w:rPr>
                <w:rFonts w:asciiTheme="majorHAnsi" w:hAnsiTheme="majorHAnsi"/>
                <w:bCs/>
                <w:sz w:val="22"/>
                <w:szCs w:val="22"/>
              </w:rPr>
              <w:t>f</w:t>
            </w:r>
            <w:r w:rsidR="009A3B72" w:rsidRPr="00E15A2F">
              <w:rPr>
                <w:rFonts w:asciiTheme="majorHAnsi" w:hAnsiTheme="majorHAnsi"/>
                <w:bCs/>
                <w:sz w:val="22"/>
                <w:szCs w:val="22"/>
              </w:rPr>
              <w:t>o</w:t>
            </w:r>
            <w:r w:rsidR="00350684" w:rsidRPr="00E15A2F">
              <w:rPr>
                <w:rFonts w:asciiTheme="majorHAnsi" w:hAnsiTheme="majorHAnsi"/>
                <w:bCs/>
                <w:sz w:val="22"/>
                <w:szCs w:val="22"/>
              </w:rPr>
              <w:t>r</w:t>
            </w:r>
            <w:r w:rsidR="009A3B72" w:rsidRPr="00E15A2F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2A5002" w:rsidRPr="00E15A2F">
              <w:rPr>
                <w:rFonts w:asciiTheme="majorHAnsi" w:hAnsiTheme="majorHAnsi"/>
                <w:bCs/>
                <w:sz w:val="22"/>
                <w:szCs w:val="22"/>
              </w:rPr>
              <w:t xml:space="preserve">prospective TQs </w:t>
            </w:r>
            <w:r w:rsidR="00E15A2F" w:rsidRPr="00E15A2F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r w:rsidR="00E15A2F" w:rsidRPr="00E15A2F">
              <w:rPr>
                <w:rFonts w:asciiTheme="majorHAnsi" w:hAnsiTheme="majorHAnsi"/>
                <w:sz w:val="22"/>
                <w:szCs w:val="22"/>
              </w:rPr>
              <w:t xml:space="preserve">nd current TQs </w:t>
            </w:r>
            <w:r w:rsidR="00350684" w:rsidRPr="00E15A2F">
              <w:rPr>
                <w:rFonts w:asciiTheme="majorHAnsi" w:hAnsiTheme="majorHAnsi"/>
                <w:bCs/>
                <w:sz w:val="22"/>
                <w:szCs w:val="22"/>
              </w:rPr>
              <w:t xml:space="preserve">to </w:t>
            </w:r>
            <w:r w:rsidR="000225D8" w:rsidRPr="00E15A2F">
              <w:rPr>
                <w:rFonts w:asciiTheme="majorHAnsi" w:hAnsiTheme="majorHAnsi"/>
                <w:bCs/>
                <w:sz w:val="22"/>
                <w:szCs w:val="22"/>
              </w:rPr>
              <w:t xml:space="preserve">email </w:t>
            </w:r>
            <w:r w:rsidR="009A3B72" w:rsidRPr="00E15A2F">
              <w:rPr>
                <w:rFonts w:asciiTheme="majorHAnsi" w:hAnsiTheme="majorHAnsi"/>
                <w:bCs/>
                <w:sz w:val="22"/>
                <w:szCs w:val="22"/>
              </w:rPr>
              <w:t>application</w:t>
            </w:r>
            <w:r w:rsidR="00A033E4" w:rsidRPr="00E15A2F">
              <w:rPr>
                <w:rFonts w:asciiTheme="majorHAnsi" w:hAnsiTheme="majorHAnsi"/>
                <w:bCs/>
                <w:sz w:val="22"/>
                <w:szCs w:val="22"/>
              </w:rPr>
              <w:t xml:space="preserve"> to </w:t>
            </w:r>
            <w:hyperlink r:id="rId6" w:history="1">
              <w:r w:rsidR="00BF7D40" w:rsidRPr="00E15A2F">
                <w:rPr>
                  <w:rStyle w:val="Hyperlink"/>
                  <w:rFonts w:asciiTheme="majorHAnsi" w:hAnsiTheme="majorHAnsi"/>
                  <w:bCs/>
                  <w:sz w:val="22"/>
                  <w:szCs w:val="22"/>
                </w:rPr>
                <w:t>BeckCenter@law.utexas.edu</w:t>
              </w:r>
            </w:hyperlink>
            <w:r w:rsidR="00BB6CBF" w:rsidRPr="00E15A2F">
              <w:rPr>
                <w:rStyle w:val="Hyperlink"/>
                <w:rFonts w:asciiTheme="majorHAnsi" w:hAnsiTheme="majorHAnsi"/>
                <w:bCs/>
                <w:sz w:val="22"/>
                <w:szCs w:val="22"/>
                <w:u w:val="none"/>
              </w:rPr>
              <w:t xml:space="preserve"> </w:t>
            </w:r>
          </w:p>
        </w:tc>
      </w:tr>
      <w:tr w:rsidR="009A3B72" w:rsidRPr="004D7ACF" w14:paraId="7CD401BC" w14:textId="77777777" w:rsidTr="00271B4D">
        <w:tc>
          <w:tcPr>
            <w:tcW w:w="2700" w:type="dxa"/>
          </w:tcPr>
          <w:p w14:paraId="0D4EEF5F" w14:textId="11A25B1D" w:rsidR="009A3B72" w:rsidRPr="00E15A2F" w:rsidRDefault="00E15A2F" w:rsidP="00C23AEB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E15A2F">
              <w:rPr>
                <w:rFonts w:asciiTheme="majorHAnsi" w:hAnsiTheme="majorHAnsi"/>
                <w:b/>
                <w:sz w:val="22"/>
                <w:szCs w:val="22"/>
              </w:rPr>
              <w:t>March 2</w:t>
            </w:r>
            <w:r w:rsidR="00071348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1E6914" w:rsidRPr="00E15A2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A033E4" w:rsidRPr="00E15A2F">
              <w:rPr>
                <w:rFonts w:asciiTheme="majorHAnsi" w:hAnsiTheme="majorHAnsi"/>
                <w:b/>
                <w:sz w:val="22"/>
                <w:szCs w:val="22"/>
              </w:rPr>
              <w:t>–</w:t>
            </w:r>
            <w:r w:rsidR="007624C9" w:rsidRPr="00E15A2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2104EB" w:rsidRPr="00E15A2F">
              <w:rPr>
                <w:rFonts w:asciiTheme="majorHAnsi" w:hAnsiTheme="majorHAnsi"/>
                <w:b/>
                <w:sz w:val="22"/>
                <w:szCs w:val="22"/>
              </w:rPr>
              <w:t xml:space="preserve">April </w:t>
            </w:r>
            <w:r w:rsidR="00071348"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</w:tc>
        <w:tc>
          <w:tcPr>
            <w:tcW w:w="6048" w:type="dxa"/>
          </w:tcPr>
          <w:p w14:paraId="2841BBF2" w14:textId="169119DB" w:rsidR="00012816" w:rsidRPr="00E15A2F" w:rsidRDefault="009A3B72" w:rsidP="00271B4D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E15A2F">
              <w:rPr>
                <w:rFonts w:asciiTheme="majorHAnsi" w:hAnsiTheme="majorHAnsi"/>
                <w:sz w:val="22"/>
                <w:szCs w:val="22"/>
              </w:rPr>
              <w:t>Interviews by writing faculty</w:t>
            </w:r>
          </w:p>
        </w:tc>
      </w:tr>
      <w:tr w:rsidR="009A3B72" w:rsidRPr="00271B4D" w14:paraId="1A8C1583" w14:textId="77777777" w:rsidTr="00271B4D">
        <w:tc>
          <w:tcPr>
            <w:tcW w:w="2700" w:type="dxa"/>
          </w:tcPr>
          <w:p w14:paraId="6C538CCB" w14:textId="14B75C5B" w:rsidR="009A3B72" w:rsidRPr="00E15A2F" w:rsidRDefault="00A033E4" w:rsidP="002104EB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E15A2F">
              <w:rPr>
                <w:rFonts w:asciiTheme="majorHAnsi" w:hAnsiTheme="majorHAnsi"/>
                <w:b/>
                <w:sz w:val="22"/>
                <w:szCs w:val="22"/>
              </w:rPr>
              <w:t xml:space="preserve">April </w:t>
            </w:r>
            <w:r w:rsidR="00E15A2F" w:rsidRPr="00E15A2F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071348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6048" w:type="dxa"/>
          </w:tcPr>
          <w:p w14:paraId="5C4D3F8E" w14:textId="11015254" w:rsidR="009A3B72" w:rsidRPr="00E15A2F" w:rsidRDefault="00F64269" w:rsidP="00271B4D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TQs selected</w:t>
            </w:r>
          </w:p>
        </w:tc>
      </w:tr>
    </w:tbl>
    <w:p w14:paraId="0B21FDC9" w14:textId="0BFC81FB" w:rsidR="007E5707" w:rsidRDefault="007E5707" w:rsidP="00B770C4">
      <w:pPr>
        <w:rPr>
          <w:sz w:val="22"/>
          <w:szCs w:val="22"/>
        </w:rPr>
      </w:pPr>
    </w:p>
    <w:sectPr w:rsidR="007E5707" w:rsidSect="00EF1E1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3495"/>
    <w:multiLevelType w:val="hybridMultilevel"/>
    <w:tmpl w:val="CA32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193A"/>
    <w:multiLevelType w:val="hybridMultilevel"/>
    <w:tmpl w:val="F6F6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671D"/>
    <w:multiLevelType w:val="hybridMultilevel"/>
    <w:tmpl w:val="252ED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08480B"/>
    <w:multiLevelType w:val="hybridMultilevel"/>
    <w:tmpl w:val="FDFC3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3A796C"/>
    <w:multiLevelType w:val="hybridMultilevel"/>
    <w:tmpl w:val="D7F09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9015763">
    <w:abstractNumId w:val="1"/>
  </w:num>
  <w:num w:numId="2" w16cid:durableId="613512747">
    <w:abstractNumId w:val="3"/>
  </w:num>
  <w:num w:numId="3" w16cid:durableId="1492022503">
    <w:abstractNumId w:val="0"/>
  </w:num>
  <w:num w:numId="4" w16cid:durableId="1324964524">
    <w:abstractNumId w:val="4"/>
  </w:num>
  <w:num w:numId="5" w16cid:durableId="51585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9BBF6FC-0315-40FD-BEF3-12914528CAEE}"/>
    <w:docVar w:name="dgnword-eventsink" w:val="686183536"/>
  </w:docVars>
  <w:rsids>
    <w:rsidRoot w:val="003227ED"/>
    <w:rsid w:val="00012816"/>
    <w:rsid w:val="000225D8"/>
    <w:rsid w:val="00031C07"/>
    <w:rsid w:val="00043472"/>
    <w:rsid w:val="00047B14"/>
    <w:rsid w:val="0006529B"/>
    <w:rsid w:val="00071348"/>
    <w:rsid w:val="0007378B"/>
    <w:rsid w:val="00084257"/>
    <w:rsid w:val="0008607C"/>
    <w:rsid w:val="00097A6A"/>
    <w:rsid w:val="000A39E0"/>
    <w:rsid w:val="000A3CD2"/>
    <w:rsid w:val="000B0928"/>
    <w:rsid w:val="000D65B5"/>
    <w:rsid w:val="00126520"/>
    <w:rsid w:val="001267EA"/>
    <w:rsid w:val="001300BD"/>
    <w:rsid w:val="00134859"/>
    <w:rsid w:val="00153B66"/>
    <w:rsid w:val="00155A83"/>
    <w:rsid w:val="00176670"/>
    <w:rsid w:val="00183E65"/>
    <w:rsid w:val="00184CCD"/>
    <w:rsid w:val="0019323F"/>
    <w:rsid w:val="001B1021"/>
    <w:rsid w:val="001C1414"/>
    <w:rsid w:val="001E6914"/>
    <w:rsid w:val="001E692D"/>
    <w:rsid w:val="001F1767"/>
    <w:rsid w:val="001F6D71"/>
    <w:rsid w:val="002104EB"/>
    <w:rsid w:val="00244044"/>
    <w:rsid w:val="00245B33"/>
    <w:rsid w:val="00251778"/>
    <w:rsid w:val="002570AE"/>
    <w:rsid w:val="00271B4D"/>
    <w:rsid w:val="002863F7"/>
    <w:rsid w:val="002A5002"/>
    <w:rsid w:val="002C5C11"/>
    <w:rsid w:val="0030269A"/>
    <w:rsid w:val="003227ED"/>
    <w:rsid w:val="00327A18"/>
    <w:rsid w:val="00330798"/>
    <w:rsid w:val="00350684"/>
    <w:rsid w:val="00362A8E"/>
    <w:rsid w:val="0039379A"/>
    <w:rsid w:val="003B7051"/>
    <w:rsid w:val="003C169A"/>
    <w:rsid w:val="003C30A0"/>
    <w:rsid w:val="003D5BED"/>
    <w:rsid w:val="00404EDE"/>
    <w:rsid w:val="00421EC7"/>
    <w:rsid w:val="004278E6"/>
    <w:rsid w:val="0043055A"/>
    <w:rsid w:val="004557CC"/>
    <w:rsid w:val="004641A4"/>
    <w:rsid w:val="00485AAE"/>
    <w:rsid w:val="00490CAF"/>
    <w:rsid w:val="00492367"/>
    <w:rsid w:val="004C7AED"/>
    <w:rsid w:val="004D7ACF"/>
    <w:rsid w:val="00515A10"/>
    <w:rsid w:val="00522116"/>
    <w:rsid w:val="00535A08"/>
    <w:rsid w:val="00545894"/>
    <w:rsid w:val="00554792"/>
    <w:rsid w:val="005575A1"/>
    <w:rsid w:val="005638E1"/>
    <w:rsid w:val="00564E57"/>
    <w:rsid w:val="005738D9"/>
    <w:rsid w:val="00582308"/>
    <w:rsid w:val="0059461A"/>
    <w:rsid w:val="005A4625"/>
    <w:rsid w:val="005E3737"/>
    <w:rsid w:val="005F0A68"/>
    <w:rsid w:val="00610AD1"/>
    <w:rsid w:val="006114E3"/>
    <w:rsid w:val="00640823"/>
    <w:rsid w:val="0064115F"/>
    <w:rsid w:val="006476C7"/>
    <w:rsid w:val="00651AEB"/>
    <w:rsid w:val="006654BE"/>
    <w:rsid w:val="00695059"/>
    <w:rsid w:val="006A0B26"/>
    <w:rsid w:val="006A4D7C"/>
    <w:rsid w:val="006C6B23"/>
    <w:rsid w:val="006E3C0A"/>
    <w:rsid w:val="0070241A"/>
    <w:rsid w:val="007216E4"/>
    <w:rsid w:val="007246F0"/>
    <w:rsid w:val="00753A5E"/>
    <w:rsid w:val="007554FE"/>
    <w:rsid w:val="007624C9"/>
    <w:rsid w:val="00773A7B"/>
    <w:rsid w:val="00775AD3"/>
    <w:rsid w:val="007C1391"/>
    <w:rsid w:val="007C7FAB"/>
    <w:rsid w:val="007D3FA4"/>
    <w:rsid w:val="007E5707"/>
    <w:rsid w:val="007F2E49"/>
    <w:rsid w:val="0083595A"/>
    <w:rsid w:val="00843B6B"/>
    <w:rsid w:val="008604AD"/>
    <w:rsid w:val="00877BA8"/>
    <w:rsid w:val="0089581D"/>
    <w:rsid w:val="008A3F00"/>
    <w:rsid w:val="008A5845"/>
    <w:rsid w:val="008C2637"/>
    <w:rsid w:val="008C398C"/>
    <w:rsid w:val="008D0FD5"/>
    <w:rsid w:val="008E5896"/>
    <w:rsid w:val="008E7BF2"/>
    <w:rsid w:val="009300B4"/>
    <w:rsid w:val="00940DB5"/>
    <w:rsid w:val="00951D2D"/>
    <w:rsid w:val="00982C24"/>
    <w:rsid w:val="00990160"/>
    <w:rsid w:val="00990512"/>
    <w:rsid w:val="009A2AEE"/>
    <w:rsid w:val="009A3B72"/>
    <w:rsid w:val="009B0C75"/>
    <w:rsid w:val="009C2CC6"/>
    <w:rsid w:val="00A00797"/>
    <w:rsid w:val="00A00F9F"/>
    <w:rsid w:val="00A033E4"/>
    <w:rsid w:val="00A23AAD"/>
    <w:rsid w:val="00A2444D"/>
    <w:rsid w:val="00A66D2F"/>
    <w:rsid w:val="00A77463"/>
    <w:rsid w:val="00A90241"/>
    <w:rsid w:val="00AA437F"/>
    <w:rsid w:val="00AB1415"/>
    <w:rsid w:val="00AF0D51"/>
    <w:rsid w:val="00B0332D"/>
    <w:rsid w:val="00B1031E"/>
    <w:rsid w:val="00B13DE7"/>
    <w:rsid w:val="00B261FD"/>
    <w:rsid w:val="00B32165"/>
    <w:rsid w:val="00B50502"/>
    <w:rsid w:val="00B770C4"/>
    <w:rsid w:val="00BB3B49"/>
    <w:rsid w:val="00BB6CBF"/>
    <w:rsid w:val="00BD54D3"/>
    <w:rsid w:val="00BE785C"/>
    <w:rsid w:val="00BF33F3"/>
    <w:rsid w:val="00BF7D40"/>
    <w:rsid w:val="00C04B2F"/>
    <w:rsid w:val="00C1030D"/>
    <w:rsid w:val="00C10C95"/>
    <w:rsid w:val="00C1365A"/>
    <w:rsid w:val="00C204D7"/>
    <w:rsid w:val="00C2160D"/>
    <w:rsid w:val="00C23AEB"/>
    <w:rsid w:val="00C32644"/>
    <w:rsid w:val="00C44070"/>
    <w:rsid w:val="00C54914"/>
    <w:rsid w:val="00C60E34"/>
    <w:rsid w:val="00C63ED4"/>
    <w:rsid w:val="00C64C3A"/>
    <w:rsid w:val="00C7537E"/>
    <w:rsid w:val="00C77392"/>
    <w:rsid w:val="00CE0A28"/>
    <w:rsid w:val="00D00C6D"/>
    <w:rsid w:val="00D031B7"/>
    <w:rsid w:val="00D10459"/>
    <w:rsid w:val="00D110C4"/>
    <w:rsid w:val="00D200D9"/>
    <w:rsid w:val="00D62825"/>
    <w:rsid w:val="00D66E7D"/>
    <w:rsid w:val="00D67A44"/>
    <w:rsid w:val="00D74A11"/>
    <w:rsid w:val="00D761AA"/>
    <w:rsid w:val="00D77D60"/>
    <w:rsid w:val="00D87ACB"/>
    <w:rsid w:val="00DA6788"/>
    <w:rsid w:val="00DC5A1A"/>
    <w:rsid w:val="00DD14FF"/>
    <w:rsid w:val="00DD5ABE"/>
    <w:rsid w:val="00DE1E4A"/>
    <w:rsid w:val="00E020C7"/>
    <w:rsid w:val="00E07BCF"/>
    <w:rsid w:val="00E15A2F"/>
    <w:rsid w:val="00E3066F"/>
    <w:rsid w:val="00E430EA"/>
    <w:rsid w:val="00E43FD4"/>
    <w:rsid w:val="00E66C4B"/>
    <w:rsid w:val="00E76DE4"/>
    <w:rsid w:val="00E854AA"/>
    <w:rsid w:val="00EA5264"/>
    <w:rsid w:val="00EA7F08"/>
    <w:rsid w:val="00EB016D"/>
    <w:rsid w:val="00EB6DF7"/>
    <w:rsid w:val="00EE6906"/>
    <w:rsid w:val="00EF1E1A"/>
    <w:rsid w:val="00F033B2"/>
    <w:rsid w:val="00F11080"/>
    <w:rsid w:val="00F4761D"/>
    <w:rsid w:val="00F523F7"/>
    <w:rsid w:val="00F64269"/>
    <w:rsid w:val="00F664A3"/>
    <w:rsid w:val="00F723B2"/>
    <w:rsid w:val="00F81370"/>
    <w:rsid w:val="00FB21B1"/>
    <w:rsid w:val="00FC3128"/>
    <w:rsid w:val="00FC6032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709FA"/>
  <w15:docId w15:val="{859904B4-49D5-42DB-8442-6F314E0A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7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1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1EC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200D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0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00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0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00D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F7D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F7D4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0FD5"/>
    <w:pPr>
      <w:ind w:left="720"/>
      <w:contextualSpacing/>
    </w:pPr>
  </w:style>
  <w:style w:type="paragraph" w:styleId="Revision">
    <w:name w:val="Revision"/>
    <w:hidden/>
    <w:uiPriority w:val="99"/>
    <w:semiHidden/>
    <w:rsid w:val="007C7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ckCenter@law.utexas.edu" TargetMode="External"/><Relationship Id="rId5" Type="http://schemas.openxmlformats.org/officeDocument/2006/relationships/hyperlink" Target="https://law.utexas.edu/legal-writ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TQ Candidacy Information Sheet 2005-2006 Academic Year</vt:lpstr>
    </vt:vector>
  </TitlesOfParts>
  <Company>University of Texas School of Law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 Candidacy Information Sheet 2005-2006 Academic Year</dc:title>
  <dc:creator>UTLAW</dc:creator>
  <cp:lastModifiedBy>Bridges, Kamela S</cp:lastModifiedBy>
  <cp:revision>6</cp:revision>
  <cp:lastPrinted>2023-01-20T21:01:00Z</cp:lastPrinted>
  <dcterms:created xsi:type="dcterms:W3CDTF">2024-07-31T14:43:00Z</dcterms:created>
  <dcterms:modified xsi:type="dcterms:W3CDTF">2025-01-31T21:33:00Z</dcterms:modified>
</cp:coreProperties>
</file>